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6BBB9D81" w:rsidR="007A5B38" w:rsidRPr="00354FDC" w:rsidRDefault="007A5B38" w:rsidP="007A5B38">
      <w:pPr>
        <w:pStyle w:val="3GPPHeader"/>
        <w:rPr>
          <w:lang w:val="en-US"/>
        </w:rPr>
      </w:pPr>
      <w:bookmarkStart w:id="0" w:name="_Hlk489988649"/>
      <w:bookmarkEnd w:id="0"/>
      <w:r w:rsidRPr="00354FDC">
        <w:rPr>
          <w:lang w:val="en-US"/>
        </w:rPr>
        <w:t>3</w:t>
      </w:r>
      <w:r w:rsidR="00F26BB4" w:rsidRPr="00354FDC">
        <w:rPr>
          <w:lang w:val="en-US"/>
        </w:rPr>
        <w:t xml:space="preserve">GPP TSG </w:t>
      </w:r>
      <w:r w:rsidRPr="00354FDC">
        <w:rPr>
          <w:lang w:val="en-US"/>
        </w:rPr>
        <w:t xml:space="preserve">RAN WG1 </w:t>
      </w:r>
      <w:r w:rsidR="00354FDC" w:rsidRPr="00354FDC">
        <w:rPr>
          <w:lang w:val="en-US"/>
        </w:rPr>
        <w:t>Meeting 91</w:t>
      </w:r>
      <w:r w:rsidRPr="00354FDC">
        <w:rPr>
          <w:lang w:val="en-US"/>
        </w:rPr>
        <w:tab/>
      </w:r>
      <w:r w:rsidR="00F366FF" w:rsidRPr="00A65E8B">
        <w:rPr>
          <w:lang w:val="en-US"/>
        </w:rPr>
        <w:t>R1-</w:t>
      </w:r>
      <w:r w:rsidR="00A65E8B" w:rsidRPr="00D379F6">
        <w:rPr>
          <w:rFonts w:cs="Arial"/>
          <w:color w:val="000000"/>
          <w:szCs w:val="16"/>
          <w:lang w:val="en-US"/>
        </w:rPr>
        <w:t>1720985</w:t>
      </w:r>
    </w:p>
    <w:p w14:paraId="1C29E774" w14:textId="77777777" w:rsidR="00354FDC" w:rsidRPr="00D379F6" w:rsidRDefault="00354FDC" w:rsidP="00354FDC">
      <w:pPr>
        <w:tabs>
          <w:tab w:val="center" w:pos="4536"/>
          <w:tab w:val="right" w:pos="8280"/>
          <w:tab w:val="right" w:pos="9639"/>
        </w:tabs>
        <w:spacing w:after="0"/>
        <w:rPr>
          <w:rFonts w:ascii="Arial" w:hAnsi="Arial" w:cs="Arial"/>
          <w:b/>
          <w:bCs/>
          <w:lang w:val="en-US"/>
        </w:rPr>
      </w:pPr>
      <w:r w:rsidRPr="00D379F6">
        <w:rPr>
          <w:rFonts w:ascii="Arial" w:eastAsia="MS Mincho" w:hAnsi="Arial" w:cs="Arial"/>
          <w:b/>
          <w:bCs/>
          <w:lang w:val="en-US" w:eastAsia="ja-JP"/>
        </w:rPr>
        <w:t>Reno, USA, November 27</w:t>
      </w:r>
      <w:r w:rsidRPr="00D379F6">
        <w:rPr>
          <w:rFonts w:ascii="Arial" w:eastAsia="MS Mincho" w:hAnsi="Arial" w:cs="Arial"/>
          <w:b/>
          <w:bCs/>
          <w:vertAlign w:val="superscript"/>
          <w:lang w:val="en-US" w:eastAsia="ja-JP"/>
        </w:rPr>
        <w:t>th</w:t>
      </w:r>
      <w:r w:rsidRPr="00D379F6">
        <w:rPr>
          <w:rFonts w:ascii="Arial" w:eastAsia="MS Mincho" w:hAnsi="Arial" w:cs="Arial"/>
          <w:b/>
          <w:bCs/>
          <w:lang w:val="en-US" w:eastAsia="ja-JP"/>
        </w:rPr>
        <w:t>-December 1</w:t>
      </w:r>
      <w:r w:rsidRPr="00D379F6">
        <w:rPr>
          <w:rFonts w:ascii="Arial" w:eastAsia="MS Mincho" w:hAnsi="Arial" w:cs="Arial"/>
          <w:b/>
          <w:bCs/>
          <w:vertAlign w:val="superscript"/>
          <w:lang w:val="en-US" w:eastAsia="ja-JP"/>
        </w:rPr>
        <w:t>st</w:t>
      </w:r>
      <w:r w:rsidRPr="00D379F6">
        <w:rPr>
          <w:rFonts w:ascii="Arial" w:eastAsia="MS Mincho" w:hAnsi="Arial" w:cs="Arial"/>
          <w:b/>
          <w:bCs/>
          <w:lang w:val="en-US" w:eastAsia="ja-JP"/>
        </w:rPr>
        <w:t>,</w:t>
      </w:r>
      <w:r w:rsidRPr="00D379F6">
        <w:rPr>
          <w:rFonts w:ascii="Arial" w:hAnsi="Arial" w:cs="Arial"/>
          <w:b/>
          <w:bCs/>
          <w:lang w:val="en-US"/>
        </w:rPr>
        <w:t xml:space="preserve"> 201</w:t>
      </w:r>
      <w:r w:rsidRPr="00D379F6">
        <w:rPr>
          <w:rFonts w:ascii="Arial" w:eastAsia="MS Mincho" w:hAnsi="Arial" w:cs="Arial" w:hint="eastAsia"/>
          <w:b/>
          <w:bCs/>
          <w:lang w:val="en-US" w:eastAsia="ja-JP"/>
        </w:rPr>
        <w:t>7</w:t>
      </w:r>
    </w:p>
    <w:p w14:paraId="6A2E8161" w14:textId="77777777" w:rsidR="00E90E49" w:rsidRPr="00D379F6" w:rsidRDefault="00E90E49" w:rsidP="00357380">
      <w:pPr>
        <w:pStyle w:val="3GPPHeader"/>
        <w:rPr>
          <w:lang w:val="en-US"/>
        </w:rPr>
      </w:pPr>
    </w:p>
    <w:p w14:paraId="1526567C" w14:textId="77777777" w:rsidR="00E90E49" w:rsidRPr="00D379F6" w:rsidRDefault="003D3C45" w:rsidP="00327997">
      <w:pPr>
        <w:pStyle w:val="3GPPHeader"/>
        <w:rPr>
          <w:lang w:val="en-US"/>
        </w:rPr>
      </w:pPr>
      <w:r w:rsidRPr="00D379F6">
        <w:rPr>
          <w:lang w:val="en-US"/>
        </w:rPr>
        <w:t>Source:</w:t>
      </w:r>
      <w:r w:rsidR="00E90E49" w:rsidRPr="00D379F6">
        <w:rPr>
          <w:lang w:val="en-US"/>
        </w:rPr>
        <w:tab/>
      </w:r>
      <w:r w:rsidR="00F64C2B" w:rsidRPr="00D379F6">
        <w:rPr>
          <w:lang w:val="en-US"/>
        </w:rPr>
        <w:t>Ericsson</w:t>
      </w:r>
    </w:p>
    <w:p w14:paraId="1AE9B122" w14:textId="70A81882" w:rsidR="00F368CF" w:rsidRPr="00D379F6" w:rsidRDefault="003D3C45" w:rsidP="00F368CF">
      <w:pPr>
        <w:pStyle w:val="3GPPHeader"/>
        <w:rPr>
          <w:lang w:val="en-US"/>
        </w:rPr>
      </w:pPr>
      <w:r w:rsidRPr="00D379F6">
        <w:rPr>
          <w:lang w:val="en-US"/>
        </w:rPr>
        <w:t>Title:</w:t>
      </w:r>
      <w:r w:rsidR="00E90E49" w:rsidRPr="00D379F6">
        <w:rPr>
          <w:lang w:val="en-US"/>
        </w:rPr>
        <w:tab/>
      </w:r>
      <w:r w:rsidR="00354FDC" w:rsidRPr="00D379F6">
        <w:rPr>
          <w:lang w:val="en-US"/>
        </w:rPr>
        <w:t>On DMRS Power Boosting and Power Imbalance</w:t>
      </w:r>
    </w:p>
    <w:p w14:paraId="2D554DE3" w14:textId="50B2B9E4" w:rsidR="00952A24" w:rsidRPr="00D379F6" w:rsidRDefault="00952A24" w:rsidP="00327997">
      <w:pPr>
        <w:pStyle w:val="3GPPHeader"/>
        <w:rPr>
          <w:lang w:val="en-US"/>
        </w:rPr>
      </w:pPr>
      <w:r w:rsidRPr="00D379F6">
        <w:rPr>
          <w:lang w:val="en-US"/>
        </w:rPr>
        <w:t>Agenda Item:</w:t>
      </w:r>
      <w:r w:rsidRPr="00D379F6">
        <w:rPr>
          <w:lang w:val="en-US"/>
        </w:rPr>
        <w:tab/>
      </w:r>
      <w:r w:rsidR="00F368CF" w:rsidRPr="00D379F6">
        <w:rPr>
          <w:lang w:val="en-US"/>
        </w:rPr>
        <w:t>7.2.3.8</w:t>
      </w:r>
    </w:p>
    <w:p w14:paraId="3C99C89E" w14:textId="77777777" w:rsidR="00E90E49" w:rsidRPr="00D379F6" w:rsidRDefault="00E90E49" w:rsidP="00E5689D">
      <w:pPr>
        <w:pStyle w:val="3GPPHeader"/>
        <w:rPr>
          <w:lang w:val="en-US"/>
        </w:rPr>
      </w:pPr>
      <w:r w:rsidRPr="00D379F6">
        <w:rPr>
          <w:lang w:val="en-US"/>
        </w:rPr>
        <w:t>Document for:</w:t>
      </w:r>
      <w:r w:rsidRPr="00D379F6">
        <w:rPr>
          <w:lang w:val="en-US"/>
        </w:rPr>
        <w:tab/>
      </w:r>
      <w:r w:rsidR="00A15745" w:rsidRPr="00D379F6">
        <w:rPr>
          <w:lang w:val="en-US"/>
        </w:rPr>
        <w:t>Discussion and</w:t>
      </w:r>
      <w:r w:rsidR="00952A24" w:rsidRPr="00D379F6">
        <w:rPr>
          <w:lang w:val="en-US"/>
        </w:rPr>
        <w:t xml:space="preserve"> </w:t>
      </w:r>
      <w:r w:rsidRPr="00D379F6">
        <w:rPr>
          <w:lang w:val="en-US"/>
        </w:rPr>
        <w:t>Decision</w:t>
      </w:r>
    </w:p>
    <w:p w14:paraId="4C3FF875" w14:textId="229AD3DC" w:rsidR="00BF7642" w:rsidRDefault="007F75D5" w:rsidP="002611E7">
      <w:pPr>
        <w:pStyle w:val="Heading1"/>
      </w:pPr>
      <w:r>
        <w:t>Introduction</w:t>
      </w:r>
    </w:p>
    <w:p w14:paraId="3F2C739B" w14:textId="1CF7C1D8" w:rsidR="00F368CF" w:rsidRPr="00D379F6" w:rsidRDefault="00F368CF" w:rsidP="00F368CF">
      <w:pPr>
        <w:pStyle w:val="BodyText"/>
        <w:rPr>
          <w:lang w:val="en-US"/>
        </w:rPr>
      </w:pPr>
      <w:bookmarkStart w:id="1" w:name="_Ref178064866"/>
      <w:r w:rsidRPr="00D379F6">
        <w:rPr>
          <w:lang w:val="en-US"/>
        </w:rPr>
        <w:t>In this c</w:t>
      </w:r>
      <w:r w:rsidR="00354FDC" w:rsidRPr="00D379F6">
        <w:rPr>
          <w:lang w:val="en-US"/>
        </w:rPr>
        <w:t>ontribution, we provide discussion on the following two issues</w:t>
      </w:r>
      <w:r w:rsidRPr="00D379F6">
        <w:rPr>
          <w:lang w:val="en-US"/>
        </w:rPr>
        <w:t>:</w:t>
      </w:r>
    </w:p>
    <w:p w14:paraId="67D44C50" w14:textId="13B50ECF" w:rsidR="00354FDC" w:rsidRDefault="00354FDC" w:rsidP="00354FDC">
      <w:pPr>
        <w:pStyle w:val="BodyText"/>
        <w:numPr>
          <w:ilvl w:val="0"/>
          <w:numId w:val="22"/>
        </w:numPr>
      </w:pPr>
      <w:proofErr w:type="spellStart"/>
      <w:r>
        <w:t>Signalling</w:t>
      </w:r>
      <w:proofErr w:type="spellEnd"/>
      <w:r>
        <w:t xml:space="preserve"> </w:t>
      </w:r>
      <w:proofErr w:type="spellStart"/>
      <w:r>
        <w:t>of</w:t>
      </w:r>
      <w:proofErr w:type="spellEnd"/>
      <w:r>
        <w:t xml:space="preserve"> DMRS </w:t>
      </w:r>
      <w:proofErr w:type="spellStart"/>
      <w:r>
        <w:t>power</w:t>
      </w:r>
      <w:proofErr w:type="spellEnd"/>
      <w:r>
        <w:t xml:space="preserve"> boosting</w:t>
      </w:r>
    </w:p>
    <w:p w14:paraId="2405DFFC" w14:textId="186C4D2A" w:rsidR="00354FDC" w:rsidRPr="00D379F6" w:rsidRDefault="00354FDC" w:rsidP="00354FDC">
      <w:pPr>
        <w:pStyle w:val="BodyText"/>
        <w:numPr>
          <w:ilvl w:val="0"/>
          <w:numId w:val="22"/>
        </w:numPr>
        <w:rPr>
          <w:lang w:val="en-US"/>
        </w:rPr>
      </w:pPr>
      <w:r w:rsidRPr="00D379F6">
        <w:rPr>
          <w:lang w:val="en-US"/>
        </w:rPr>
        <w:t>Solution for the DMRS symbol power imbalance introduced by TD-OCC</w:t>
      </w:r>
    </w:p>
    <w:bookmarkEnd w:id="1"/>
    <w:p w14:paraId="3CB8F8BC" w14:textId="20B6EF97" w:rsidR="004000E8" w:rsidRDefault="00354FDC" w:rsidP="00CE0424">
      <w:pPr>
        <w:pStyle w:val="Heading1"/>
      </w:pPr>
      <w:r>
        <w:t xml:space="preserve">Power boosting of DMRS </w:t>
      </w:r>
    </w:p>
    <w:p w14:paraId="20CEB9B1" w14:textId="0082838A" w:rsidR="00354FDC" w:rsidRPr="00D379F6" w:rsidRDefault="00354FDC" w:rsidP="00354FDC">
      <w:pPr>
        <w:rPr>
          <w:lang w:val="en-US"/>
        </w:rPr>
      </w:pPr>
      <w:r w:rsidRPr="00D379F6">
        <w:rPr>
          <w:lang w:val="en-US"/>
        </w:rPr>
        <w:t>To increase spectral efficiency or/and channel estimation performance, it was agreed that in the meeting RAN1_90</w:t>
      </w:r>
      <w:r w:rsidR="001D7DE4" w:rsidRPr="00D379F6">
        <w:rPr>
          <w:lang w:val="en-US"/>
        </w:rPr>
        <w:t xml:space="preserve"> NR#3 </w:t>
      </w:r>
      <w:r w:rsidR="001D7DE4">
        <w:fldChar w:fldCharType="begin"/>
      </w:r>
      <w:r w:rsidR="001D7DE4" w:rsidRPr="00D379F6">
        <w:rPr>
          <w:lang w:val="en-US"/>
        </w:rPr>
        <w:instrText xml:space="preserve"> REF _Ref494716035 \r \h </w:instrText>
      </w:r>
      <w:r w:rsidR="001D7DE4">
        <w:fldChar w:fldCharType="separate"/>
      </w:r>
      <w:r w:rsidR="005E0BA5" w:rsidRPr="00D379F6">
        <w:rPr>
          <w:lang w:val="en-US"/>
        </w:rPr>
        <w:t>[1]</w:t>
      </w:r>
      <w:r w:rsidR="001D7DE4">
        <w:fldChar w:fldCharType="end"/>
      </w:r>
      <w:r w:rsidRPr="00D379F6">
        <w:rPr>
          <w:lang w:val="en-US"/>
        </w:rPr>
        <w:t xml:space="preserve"> that </w:t>
      </w:r>
    </w:p>
    <w:p w14:paraId="35B67E4A" w14:textId="77777777" w:rsidR="00354FDC" w:rsidRPr="00D379F6" w:rsidRDefault="00354FDC" w:rsidP="00354FDC">
      <w:pPr>
        <w:pStyle w:val="ListParagraph"/>
        <w:numPr>
          <w:ilvl w:val="0"/>
          <w:numId w:val="23"/>
        </w:numPr>
        <w:rPr>
          <w:lang w:val="en-US"/>
        </w:rPr>
      </w:pPr>
      <w:r w:rsidRPr="00D379F6">
        <w:rPr>
          <w:lang w:val="en-US"/>
        </w:rPr>
        <w:t>NR support FDM between DMRS and data in the DMRS symbols,</w:t>
      </w:r>
    </w:p>
    <w:p w14:paraId="35179F32" w14:textId="77777777" w:rsidR="00354FDC" w:rsidRPr="00D379F6" w:rsidRDefault="00354FDC" w:rsidP="00354FDC">
      <w:pPr>
        <w:pStyle w:val="ListParagraph"/>
        <w:numPr>
          <w:ilvl w:val="0"/>
          <w:numId w:val="23"/>
        </w:numPr>
        <w:rPr>
          <w:lang w:val="en-US"/>
        </w:rPr>
      </w:pPr>
      <w:r w:rsidRPr="00D379F6">
        <w:rPr>
          <w:lang w:val="en-US"/>
        </w:rPr>
        <w:t xml:space="preserve">NR support </w:t>
      </w:r>
      <w:proofErr w:type="spellStart"/>
      <w:r w:rsidRPr="00D379F6">
        <w:rPr>
          <w:lang w:val="en-US"/>
        </w:rPr>
        <w:t>signalling</w:t>
      </w:r>
      <w:proofErr w:type="spellEnd"/>
      <w:r w:rsidRPr="00D379F6">
        <w:rPr>
          <w:lang w:val="en-US"/>
        </w:rPr>
        <w:t xml:space="preserve"> for rate matching in the DMRS symbols.</w:t>
      </w:r>
    </w:p>
    <w:p w14:paraId="6643117C" w14:textId="68F4292E" w:rsidR="00354FDC" w:rsidRPr="00D379F6" w:rsidRDefault="00354FDC" w:rsidP="00354FDC">
      <w:pPr>
        <w:rPr>
          <w:lang w:val="en-US"/>
        </w:rPr>
      </w:pPr>
      <w:r w:rsidRPr="00D379F6">
        <w:rPr>
          <w:lang w:val="en-US"/>
        </w:rPr>
        <w:t xml:space="preserve">The purpose is to introduce flexibility that when there </w:t>
      </w:r>
      <w:proofErr w:type="gramStart"/>
      <w:r w:rsidRPr="00D379F6">
        <w:rPr>
          <w:lang w:val="en-US"/>
        </w:rPr>
        <w:t>are</w:t>
      </w:r>
      <w:proofErr w:type="gramEnd"/>
      <w:r w:rsidRPr="00D379F6">
        <w:rPr>
          <w:lang w:val="en-US"/>
        </w:rPr>
        <w:t xml:space="preserve"> empty REs which are not occupied by RS in the DMRS symbol, there exist options either using them for data or keeping them empty while allocating the equal power to the DMRS symbol as the dat</w:t>
      </w:r>
      <w:r w:rsidR="004F68FF" w:rsidRPr="00D379F6">
        <w:rPr>
          <w:lang w:val="en-US"/>
        </w:rPr>
        <w:t xml:space="preserve">a symbols. In our evaluations </w:t>
      </w:r>
      <w:r w:rsidR="004F68FF">
        <w:fldChar w:fldCharType="begin"/>
      </w:r>
      <w:r w:rsidR="004F68FF" w:rsidRPr="00D379F6">
        <w:rPr>
          <w:lang w:val="en-US"/>
        </w:rPr>
        <w:instrText xml:space="preserve"> REF _Ref494715703 \r \h </w:instrText>
      </w:r>
      <w:r w:rsidR="004F68FF">
        <w:fldChar w:fldCharType="separate"/>
      </w:r>
      <w:r w:rsidR="005E0BA5" w:rsidRPr="00D379F6">
        <w:rPr>
          <w:lang w:val="en-US"/>
        </w:rPr>
        <w:t>[2]</w:t>
      </w:r>
      <w:r w:rsidR="004F68FF">
        <w:fldChar w:fldCharType="end"/>
      </w:r>
      <w:r w:rsidRPr="00D379F6">
        <w:rPr>
          <w:lang w:val="en-US"/>
        </w:rPr>
        <w:t xml:space="preserve">, it is shown that at least for low SNR scenarios power boosting the DMRS REs can achieve better BLER performance for a fixed payload transmission. Therefore, power boosting the DMRS REs needs to be supported by NR. </w:t>
      </w:r>
    </w:p>
    <w:p w14:paraId="2144F58C" w14:textId="78F93917" w:rsidR="00354FDC" w:rsidRPr="00D379F6" w:rsidRDefault="00354FDC" w:rsidP="00A82551">
      <w:pPr>
        <w:pStyle w:val="BodyText"/>
        <w:rPr>
          <w:lang w:val="en-US"/>
        </w:rPr>
      </w:pPr>
      <w:r w:rsidRPr="00D379F6">
        <w:rPr>
          <w:lang w:val="en-US"/>
        </w:rPr>
        <w:t>To summarize, the actual power boosting coefficient should be determined following two principles:</w:t>
      </w:r>
    </w:p>
    <w:p w14:paraId="6D8CC0DE" w14:textId="77777777" w:rsidR="00354FDC" w:rsidRPr="00D379F6" w:rsidRDefault="00354FDC" w:rsidP="00354FDC">
      <w:pPr>
        <w:pStyle w:val="BodyText"/>
        <w:numPr>
          <w:ilvl w:val="0"/>
          <w:numId w:val="24"/>
        </w:numPr>
        <w:rPr>
          <w:lang w:val="en-US"/>
        </w:rPr>
      </w:pPr>
      <w:r w:rsidRPr="00D379F6">
        <w:rPr>
          <w:lang w:val="en-US"/>
        </w:rPr>
        <w:t>Equal power of symbols: The aim of boosting on the DMRS REs is to lead the equal power of the DMRS symbol as the data symbols for every UE,</w:t>
      </w:r>
    </w:p>
    <w:p w14:paraId="4BCFE9A7" w14:textId="77777777" w:rsidR="00354FDC" w:rsidRPr="00D379F6" w:rsidRDefault="00354FDC" w:rsidP="00354FDC">
      <w:pPr>
        <w:pStyle w:val="BodyText"/>
        <w:numPr>
          <w:ilvl w:val="0"/>
          <w:numId w:val="24"/>
        </w:numPr>
        <w:rPr>
          <w:lang w:val="en-US"/>
        </w:rPr>
      </w:pPr>
      <w:r w:rsidRPr="00D379F6">
        <w:rPr>
          <w:lang w:val="en-US"/>
        </w:rPr>
        <w:t xml:space="preserve">Flexibility of FDM and non-FDM between data and DMRS in the DMRS symbol. </w:t>
      </w:r>
    </w:p>
    <w:p w14:paraId="02437FD1" w14:textId="1733396D" w:rsidR="00354FDC" w:rsidRDefault="00354FDC" w:rsidP="00354FDC">
      <w:r w:rsidRPr="00D379F6">
        <w:rPr>
          <w:lang w:val="en-US"/>
        </w:rPr>
        <w:t xml:space="preserve">Therefore, the key parameters for power boosting are the number of DMRS REs and the number of data REs in the DMRS symbol. </w:t>
      </w:r>
      <w:r>
        <w:t>Cons</w:t>
      </w:r>
      <w:r w:rsidR="00FA50B0">
        <w:t>ider</w:t>
      </w:r>
      <w:r w:rsidR="00E74668">
        <w:t>ing</w:t>
      </w:r>
      <w:r w:rsidR="00FA50B0">
        <w:t xml:space="preserve"> the agreement in RAN1_90b</w:t>
      </w:r>
      <w:r>
        <w:t xml:space="preserve"> that</w:t>
      </w:r>
    </w:p>
    <w:p w14:paraId="728B27B9" w14:textId="77777777" w:rsidR="00354FDC" w:rsidRPr="00D379F6" w:rsidRDefault="00354FDC" w:rsidP="00042972">
      <w:pPr>
        <w:pStyle w:val="ListParagraph"/>
        <w:numPr>
          <w:ilvl w:val="0"/>
          <w:numId w:val="25"/>
        </w:numPr>
        <w:rPr>
          <w:szCs w:val="28"/>
          <w:lang w:val="en-US" w:eastAsia="ko-KR"/>
        </w:rPr>
      </w:pPr>
      <w:r w:rsidRPr="00D379F6">
        <w:rPr>
          <w:szCs w:val="28"/>
          <w:lang w:val="en-US" w:eastAsia="ko-KR"/>
        </w:rPr>
        <w:t>A UE in MU-MIMO should be scheduled ports first within a specific CDM group, and then across CDM groups from UE perspective,</w:t>
      </w:r>
      <w:r w:rsidRPr="00D379F6">
        <w:rPr>
          <w:lang w:val="en-US"/>
        </w:rPr>
        <w:t xml:space="preserve">  </w:t>
      </w:r>
    </w:p>
    <w:p w14:paraId="5F7FEA41" w14:textId="77777777" w:rsidR="00354FDC" w:rsidRPr="00D379F6" w:rsidRDefault="00354FDC" w:rsidP="00354FDC">
      <w:pPr>
        <w:pStyle w:val="BodyText"/>
        <w:rPr>
          <w:lang w:val="en-US"/>
        </w:rPr>
      </w:pPr>
      <w:r w:rsidRPr="00D379F6">
        <w:rPr>
          <w:lang w:val="en-US"/>
        </w:rPr>
        <w:t>the power boosting ratio in dB can be determined as follows:</w:t>
      </w:r>
    </w:p>
    <w:p w14:paraId="494AAEBB" w14:textId="0CAACD8C" w:rsidR="00354FDC" w:rsidRDefault="00354FDC" w:rsidP="00354FDC">
      <w:pPr>
        <w:pStyle w:val="BodyText"/>
        <w:jc w:val="center"/>
      </w:pPr>
      <m:oMathPara>
        <m:oMath>
          <m:r>
            <w:rPr>
              <w:rFonts w:ascii="Cambria Math" w:hAnsi="Cambria Math"/>
            </w:rPr>
            <m:t>ρ= -10*</m:t>
          </m:r>
          <m:func>
            <m:funcPr>
              <m:ctrlPr>
                <w:rPr>
                  <w:rFonts w:ascii="Cambria Math" w:hAnsi="Cambria Math"/>
                  <w:i/>
                </w:rPr>
              </m:ctrlPr>
            </m:funcPr>
            <m:fName>
              <m:r>
                <m:rPr>
                  <m:sty m:val="p"/>
                </m:rPr>
                <w:rPr>
                  <w:rFonts w:ascii="Cambria Math" w:hAnsi="Cambria Math"/>
                </w:rPr>
                <m:t>log</m:t>
              </m:r>
            </m:fName>
            <m:e>
              <m:f>
                <m:fPr>
                  <m:ctrlPr>
                    <w:rPr>
                      <w:rFonts w:ascii="Cambria Math" w:hAnsi="Cambria Math"/>
                      <w:i/>
                    </w:rPr>
                  </m:ctrlPr>
                </m:fPr>
                <m:num>
                  <m:r>
                    <w:rPr>
                      <w:rFonts w:ascii="Cambria Math" w:hAnsi="Cambria Math"/>
                    </w:rPr>
                    <m:t>DMRS_EPRE</m:t>
                  </m:r>
                </m:num>
                <m:den>
                  <m:r>
                    <w:rPr>
                      <w:rFonts w:ascii="Cambria Math" w:hAnsi="Cambria Math"/>
                    </w:rPr>
                    <m:t>DATA_EPRE</m:t>
                  </m:r>
                </m:den>
              </m:f>
            </m:e>
          </m:func>
        </m:oMath>
      </m:oMathPara>
    </w:p>
    <w:p w14:paraId="54A7FF0C" w14:textId="01942538" w:rsidR="00742A40" w:rsidRPr="00D379F6" w:rsidRDefault="00897C78" w:rsidP="00354FDC">
      <w:pPr>
        <w:pStyle w:val="BodyText"/>
        <w:rPr>
          <w:lang w:val="en-US"/>
        </w:rPr>
      </w:pPr>
      <w:r w:rsidRPr="00D379F6">
        <w:rPr>
          <w:lang w:val="en-US"/>
        </w:rPr>
        <w:t>Because of the number of CDM groups are limited</w:t>
      </w:r>
      <w:r w:rsidR="00FA50B0" w:rsidRPr="00D379F6">
        <w:rPr>
          <w:lang w:val="en-US"/>
        </w:rPr>
        <w:t>, the actual power boosting ratio is limited to only a few values.</w:t>
      </w:r>
      <w:r w:rsidR="00314850" w:rsidRPr="00D379F6">
        <w:rPr>
          <w:lang w:val="en-US"/>
        </w:rPr>
        <w:t xml:space="preserve"> In order to </w:t>
      </w:r>
      <w:r w:rsidR="00074CE6" w:rsidRPr="00D379F6">
        <w:rPr>
          <w:lang w:val="en-US"/>
        </w:rPr>
        <w:t xml:space="preserve">reduce the </w:t>
      </w:r>
      <w:proofErr w:type="spellStart"/>
      <w:r w:rsidR="00074CE6" w:rsidRPr="00D379F6">
        <w:rPr>
          <w:lang w:val="en-US"/>
        </w:rPr>
        <w:t>signalling</w:t>
      </w:r>
      <w:proofErr w:type="spellEnd"/>
      <w:r w:rsidR="00074CE6" w:rsidRPr="00D379F6">
        <w:rPr>
          <w:lang w:val="en-US"/>
        </w:rPr>
        <w:t xml:space="preserve"> of power boosting, the CDM groups can be scheduled in a </w:t>
      </w:r>
      <w:r w:rsidR="00074CE6" w:rsidRPr="00D379F6">
        <w:rPr>
          <w:lang w:val="en-US"/>
        </w:rPr>
        <w:lastRenderedPageBreak/>
        <w:t xml:space="preserve">pre-predefined order. For instance, if a UE sees its DMRS ports exist in the CDM-group 2, it is valid to assume that the CDM-group 1 contains DMRS ports for other UEs, therefore, the data allocation can only be limited in CDM-group 3. By this means, UEs are informed the </w:t>
      </w:r>
      <w:r w:rsidR="00742A40" w:rsidRPr="00D379F6">
        <w:rPr>
          <w:lang w:val="en-US"/>
        </w:rPr>
        <w:t xml:space="preserve">occupied CDM-groups by </w:t>
      </w:r>
      <w:r w:rsidR="00A8575E" w:rsidRPr="00D379F6">
        <w:rPr>
          <w:lang w:val="en-US"/>
        </w:rPr>
        <w:t xml:space="preserve">the DMRS from </w:t>
      </w:r>
      <w:r w:rsidR="00742A40" w:rsidRPr="00D379F6">
        <w:rPr>
          <w:lang w:val="en-US"/>
        </w:rPr>
        <w:t xml:space="preserve">other UEs </w:t>
      </w:r>
      <w:r w:rsidR="00074CE6" w:rsidRPr="00D379F6">
        <w:rPr>
          <w:lang w:val="en-US"/>
        </w:rPr>
        <w:t>implicitly.</w:t>
      </w:r>
      <w:r w:rsidR="00742A40" w:rsidRPr="00D379F6">
        <w:rPr>
          <w:lang w:val="en-US"/>
        </w:rPr>
        <w:t xml:space="preserve"> Combining with the actually power boosting ratio, the data allocation </w:t>
      </w:r>
      <w:r w:rsidR="00A8575E" w:rsidRPr="00D379F6">
        <w:rPr>
          <w:lang w:val="en-US"/>
        </w:rPr>
        <w:t xml:space="preserve">in DMRS symbols </w:t>
      </w:r>
      <w:r w:rsidR="00742A40" w:rsidRPr="00D379F6">
        <w:rPr>
          <w:lang w:val="en-US"/>
        </w:rPr>
        <w:t xml:space="preserve">is </w:t>
      </w:r>
      <w:r w:rsidR="00A8575E" w:rsidRPr="00D379F6">
        <w:rPr>
          <w:lang w:val="en-US"/>
        </w:rPr>
        <w:t>informed</w:t>
      </w:r>
      <w:r w:rsidR="00742A40" w:rsidRPr="00D379F6">
        <w:rPr>
          <w:lang w:val="en-US"/>
        </w:rPr>
        <w:t xml:space="preserve"> to UE</w:t>
      </w:r>
      <w:r w:rsidR="00A8575E" w:rsidRPr="00D379F6">
        <w:rPr>
          <w:lang w:val="en-US"/>
        </w:rPr>
        <w:t>s</w:t>
      </w:r>
      <w:r w:rsidR="00742A40" w:rsidRPr="00D379F6">
        <w:rPr>
          <w:lang w:val="en-US"/>
        </w:rPr>
        <w:t xml:space="preserve"> implicitly. </w:t>
      </w:r>
    </w:p>
    <w:p w14:paraId="5E6431E3" w14:textId="403B7242" w:rsidR="00314850" w:rsidRPr="00D379F6" w:rsidRDefault="00742A40" w:rsidP="00742A40">
      <w:pPr>
        <w:pStyle w:val="Proposal"/>
        <w:rPr>
          <w:lang w:val="en-US"/>
        </w:rPr>
      </w:pPr>
      <w:bookmarkStart w:id="2" w:name="_Toc498705874"/>
      <w:r w:rsidRPr="00D379F6">
        <w:rPr>
          <w:lang w:val="en-US"/>
        </w:rPr>
        <w:t>In the MU-MIMO transmissio</w:t>
      </w:r>
      <w:r w:rsidR="008A40DD" w:rsidRPr="00D379F6">
        <w:rPr>
          <w:lang w:val="en-US"/>
        </w:rPr>
        <w:t xml:space="preserve">n, UEs are scheduled </w:t>
      </w:r>
      <w:r w:rsidR="00AD539A" w:rsidRPr="00D379F6">
        <w:rPr>
          <w:lang w:val="en-US"/>
        </w:rPr>
        <w:t xml:space="preserve">with DMRS ports </w:t>
      </w:r>
      <w:r w:rsidR="008A40DD" w:rsidRPr="00D379F6">
        <w:rPr>
          <w:lang w:val="en-US"/>
        </w:rPr>
        <w:t xml:space="preserve">according to a </w:t>
      </w:r>
      <w:r w:rsidR="00AD3689" w:rsidRPr="00D379F6">
        <w:rPr>
          <w:lang w:val="en-US"/>
        </w:rPr>
        <w:t xml:space="preserve">specific </w:t>
      </w:r>
      <w:r w:rsidR="00AD539A" w:rsidRPr="00D379F6">
        <w:rPr>
          <w:lang w:val="en-US"/>
        </w:rPr>
        <w:t>order</w:t>
      </w:r>
      <w:r w:rsidR="00AD3689" w:rsidRPr="00D379F6">
        <w:rPr>
          <w:lang w:val="en-US"/>
        </w:rPr>
        <w:t xml:space="preserve"> formed by the CDM-group indices</w:t>
      </w:r>
      <w:r w:rsidRPr="00D379F6">
        <w:rPr>
          <w:lang w:val="en-US"/>
        </w:rPr>
        <w:t xml:space="preserve">, for instance, </w:t>
      </w:r>
      <w:r w:rsidR="00AD539A" w:rsidRPr="00D379F6">
        <w:rPr>
          <w:lang w:val="en-US"/>
        </w:rPr>
        <w:t xml:space="preserve">in </w:t>
      </w:r>
      <w:r w:rsidRPr="00D379F6">
        <w:rPr>
          <w:lang w:val="en-US"/>
        </w:rPr>
        <w:t>the order of CDM-group 1, 2, 3.</w:t>
      </w:r>
      <w:bookmarkEnd w:id="2"/>
      <w:r w:rsidRPr="00D379F6">
        <w:rPr>
          <w:lang w:val="en-US"/>
        </w:rPr>
        <w:t xml:space="preserve"> </w:t>
      </w:r>
      <w:r w:rsidR="00074CE6" w:rsidRPr="00D379F6">
        <w:rPr>
          <w:lang w:val="en-US"/>
        </w:rPr>
        <w:t xml:space="preserve"> </w:t>
      </w:r>
    </w:p>
    <w:p w14:paraId="281C3EE9" w14:textId="32AC8AAA" w:rsidR="00FA50B0" w:rsidRPr="00D379F6" w:rsidRDefault="00AD539A" w:rsidP="00354FDC">
      <w:pPr>
        <w:pStyle w:val="BodyText"/>
        <w:rPr>
          <w:lang w:val="en-US"/>
        </w:rPr>
      </w:pPr>
      <w:r w:rsidRPr="00D379F6">
        <w:rPr>
          <w:lang w:val="en-US"/>
        </w:rPr>
        <w:t xml:space="preserve">Following the </w:t>
      </w:r>
      <w:r w:rsidR="00742A40" w:rsidRPr="00D379F6">
        <w:rPr>
          <w:lang w:val="en-US"/>
        </w:rPr>
        <w:t>order of CDM group 1, 2, and 3</w:t>
      </w:r>
      <w:r w:rsidRPr="00D379F6">
        <w:rPr>
          <w:lang w:val="en-US"/>
        </w:rPr>
        <w:t xml:space="preserve"> for DMRS ports </w:t>
      </w:r>
      <w:r w:rsidR="00D379F6" w:rsidRPr="00D379F6">
        <w:rPr>
          <w:lang w:val="en-US"/>
        </w:rPr>
        <w:t>as</w:t>
      </w:r>
      <w:r w:rsidR="00D379F6">
        <w:rPr>
          <w:lang w:val="en-US"/>
        </w:rPr>
        <w:t>signment</w:t>
      </w:r>
      <w:r w:rsidR="00742A40" w:rsidRPr="00D379F6">
        <w:rPr>
          <w:lang w:val="en-US"/>
        </w:rPr>
        <w:t>, c</w:t>
      </w:r>
      <w:r w:rsidR="00CB3BB9" w:rsidRPr="00D379F6">
        <w:rPr>
          <w:lang w:val="en-US"/>
        </w:rPr>
        <w:t xml:space="preserve">onsider the MU-MIMO scheduling from the UE perspective. </w:t>
      </w:r>
      <w:r w:rsidR="00742A40" w:rsidRPr="00D379F6">
        <w:rPr>
          <w:lang w:val="en-US"/>
        </w:rPr>
        <w:t>The power boosting ratio will be limited to the following cases, each containing information regarding the unique DMRS port and data allocation.</w:t>
      </w:r>
      <w:bookmarkStart w:id="3" w:name="_GoBack"/>
      <w:bookmarkEnd w:id="3"/>
    </w:p>
    <w:p w14:paraId="01B8AB94" w14:textId="7B17C9B1" w:rsidR="00FA50B0" w:rsidRPr="00D379F6" w:rsidRDefault="00FA50B0" w:rsidP="00354FDC">
      <w:pPr>
        <w:pStyle w:val="BodyText"/>
        <w:rPr>
          <w:lang w:val="en-US"/>
        </w:rPr>
      </w:pPr>
      <w:r w:rsidRPr="00D379F6">
        <w:rPr>
          <w:lang w:val="en-US"/>
        </w:rPr>
        <w:t xml:space="preserve">For type-1, there will be only 2 values for </w:t>
      </w:r>
      <m:oMath>
        <m:r>
          <w:rPr>
            <w:rFonts w:ascii="Cambria Math" w:hAnsi="Cambria Math"/>
          </w:rPr>
          <m:t>ρ</m:t>
        </m:r>
      </m:oMath>
      <w:r w:rsidRPr="00D379F6">
        <w:rPr>
          <w:lang w:val="en-US"/>
        </w:rPr>
        <w:t>:</w:t>
      </w:r>
    </w:p>
    <w:p w14:paraId="5AA1789F" w14:textId="0D1851FB" w:rsidR="00FA50B0" w:rsidRPr="00D379F6" w:rsidRDefault="00FA50B0" w:rsidP="00FA50B0">
      <w:pPr>
        <w:pStyle w:val="BodyText"/>
        <w:numPr>
          <w:ilvl w:val="0"/>
          <w:numId w:val="25"/>
        </w:numPr>
        <w:rPr>
          <w:lang w:val="en-US"/>
        </w:rPr>
      </w:pPr>
      <m:oMath>
        <m:r>
          <w:rPr>
            <w:rFonts w:ascii="Cambria Math" w:hAnsi="Cambria Math"/>
          </w:rPr>
          <m:t>ρ</m:t>
        </m:r>
        <m:r>
          <w:rPr>
            <w:rFonts w:ascii="Cambria Math" w:hAnsi="Cambria Math"/>
            <w:lang w:val="en-US"/>
          </w:rPr>
          <m:t>=0</m:t>
        </m:r>
      </m:oMath>
      <w:r w:rsidRPr="00D379F6">
        <w:rPr>
          <w:lang w:val="en-US"/>
        </w:rPr>
        <w:t xml:space="preserve">dB. </w:t>
      </w:r>
      <w:r w:rsidR="00CB3BB9" w:rsidRPr="00D379F6">
        <w:rPr>
          <w:lang w:val="en-US"/>
        </w:rPr>
        <w:t xml:space="preserve">A </w:t>
      </w:r>
      <w:r w:rsidRPr="00D379F6">
        <w:rPr>
          <w:lang w:val="en-US"/>
        </w:rPr>
        <w:t>UE can assume that there is data allocation in the other CDM-group</w:t>
      </w:r>
      <w:r w:rsidR="008D6B5B" w:rsidRPr="00D379F6">
        <w:rPr>
          <w:lang w:val="en-US"/>
        </w:rPr>
        <w:t>,</w:t>
      </w:r>
    </w:p>
    <w:p w14:paraId="4E255CFC" w14:textId="2BBB6F93" w:rsidR="00FA50B0" w:rsidRPr="00D379F6" w:rsidRDefault="00FA50B0" w:rsidP="00FA50B0">
      <w:pPr>
        <w:pStyle w:val="BodyText"/>
        <w:numPr>
          <w:ilvl w:val="0"/>
          <w:numId w:val="25"/>
        </w:numPr>
        <w:rPr>
          <w:lang w:val="en-US"/>
        </w:rPr>
      </w:pPr>
      <m:oMath>
        <m:r>
          <w:rPr>
            <w:rFonts w:ascii="Cambria Math" w:hAnsi="Cambria Math"/>
          </w:rPr>
          <m:t>ρ</m:t>
        </m:r>
        <m:r>
          <w:rPr>
            <w:rFonts w:ascii="Cambria Math" w:hAnsi="Cambria Math"/>
            <w:lang w:val="en-US"/>
          </w:rPr>
          <m:t>=-3</m:t>
        </m:r>
      </m:oMath>
      <w:r w:rsidRPr="00D379F6">
        <w:rPr>
          <w:lang w:val="en-US"/>
        </w:rPr>
        <w:t xml:space="preserve">dB. </w:t>
      </w:r>
      <w:r w:rsidR="00CB3BB9" w:rsidRPr="00D379F6">
        <w:rPr>
          <w:lang w:val="en-US"/>
        </w:rPr>
        <w:t xml:space="preserve">A </w:t>
      </w:r>
      <w:r w:rsidRPr="00D379F6">
        <w:rPr>
          <w:lang w:val="en-US"/>
        </w:rPr>
        <w:t xml:space="preserve">UE can assume that there won’t be any data in the other CDM-group. </w:t>
      </w:r>
    </w:p>
    <w:p w14:paraId="74D146DF" w14:textId="21EF3DBE" w:rsidR="00FA50B0" w:rsidRPr="00D379F6" w:rsidRDefault="00FA50B0" w:rsidP="00354FDC">
      <w:pPr>
        <w:pStyle w:val="BodyText"/>
        <w:rPr>
          <w:lang w:val="en-US"/>
        </w:rPr>
      </w:pPr>
      <w:r w:rsidRPr="00D379F6">
        <w:rPr>
          <w:lang w:val="en-US"/>
        </w:rPr>
        <w:t xml:space="preserve">For type-2, there will be 3 values for </w:t>
      </w:r>
      <m:oMath>
        <m:r>
          <w:rPr>
            <w:rFonts w:ascii="Cambria Math" w:hAnsi="Cambria Math"/>
          </w:rPr>
          <m:t>ρ</m:t>
        </m:r>
      </m:oMath>
      <w:r w:rsidRPr="00D379F6">
        <w:rPr>
          <w:lang w:val="en-US"/>
        </w:rPr>
        <w:t>:</w:t>
      </w:r>
    </w:p>
    <w:p w14:paraId="63E1FB79" w14:textId="4816F806" w:rsidR="00CB3BB9" w:rsidRPr="00742A40" w:rsidRDefault="00CB3BB9" w:rsidP="00CB3BB9">
      <w:pPr>
        <w:pStyle w:val="CommentText"/>
        <w:numPr>
          <w:ilvl w:val="0"/>
          <w:numId w:val="26"/>
        </w:numPr>
        <w:rPr>
          <w:lang w:val="en-US"/>
        </w:rPr>
      </w:pPr>
      <m:oMath>
        <m:r>
          <w:rPr>
            <w:rFonts w:ascii="Cambria Math" w:hAnsi="Cambria Math"/>
          </w:rPr>
          <m:t>ρ</m:t>
        </m:r>
        <m:r>
          <w:rPr>
            <w:rFonts w:ascii="Cambria Math" w:hAnsi="Cambria Math"/>
            <w:lang w:val="en-US"/>
          </w:rPr>
          <m:t>=0</m:t>
        </m:r>
      </m:oMath>
      <w:r w:rsidRPr="00D379F6">
        <w:rPr>
          <w:lang w:val="en-US"/>
        </w:rPr>
        <w:t>dB</w:t>
      </w:r>
      <w:r>
        <w:rPr>
          <w:lang w:val="en-US"/>
        </w:rPr>
        <w:t>. A UE can assume that there is data allocation</w:t>
      </w:r>
      <w:r w:rsidRPr="00260275">
        <w:rPr>
          <w:lang w:val="en-US"/>
        </w:rPr>
        <w:t xml:space="preserve"> in the other </w:t>
      </w:r>
      <w:r>
        <w:rPr>
          <w:lang w:val="en-US"/>
        </w:rPr>
        <w:t>CDM groups</w:t>
      </w:r>
      <w:r w:rsidR="008D6B5B">
        <w:rPr>
          <w:lang w:val="en-US"/>
        </w:rPr>
        <w:t>,</w:t>
      </w:r>
    </w:p>
    <w:p w14:paraId="325FFFC3" w14:textId="249256D4" w:rsidR="00CB3BB9" w:rsidRPr="00CB3BB9" w:rsidRDefault="00CB3BB9" w:rsidP="00CB3BB9">
      <w:pPr>
        <w:pStyle w:val="CommentText"/>
        <w:numPr>
          <w:ilvl w:val="0"/>
          <w:numId w:val="26"/>
        </w:numPr>
        <w:rPr>
          <w:lang w:val="en-US"/>
        </w:rPr>
      </w:pPr>
      <m:oMath>
        <m:r>
          <w:rPr>
            <w:rFonts w:ascii="Cambria Math" w:hAnsi="Cambria Math"/>
          </w:rPr>
          <m:t>ρ</m:t>
        </m:r>
        <m:r>
          <w:rPr>
            <w:rFonts w:ascii="Cambria Math" w:hAnsi="Cambria Math"/>
            <w:lang w:val="en-US"/>
          </w:rPr>
          <m:t>=-3</m:t>
        </m:r>
      </m:oMath>
      <w:r>
        <w:rPr>
          <w:lang w:val="en-US"/>
        </w:rPr>
        <w:t xml:space="preserve">dB. </w:t>
      </w:r>
      <w:r w:rsidRPr="00260275">
        <w:rPr>
          <w:lang w:val="en-US"/>
        </w:rPr>
        <w:t>A UE with</w:t>
      </w:r>
      <w:r>
        <w:rPr>
          <w:lang w:val="en-US"/>
        </w:rPr>
        <w:t xml:space="preserve"> ports </w:t>
      </w:r>
      <w:r w:rsidRPr="00260275">
        <w:rPr>
          <w:lang w:val="en-US"/>
        </w:rPr>
        <w:t>in</w:t>
      </w:r>
      <w:r>
        <w:rPr>
          <w:lang w:val="en-US"/>
        </w:rPr>
        <w:t xml:space="preserve"> either CDM group1</w:t>
      </w:r>
      <w:r w:rsidRPr="00260275">
        <w:rPr>
          <w:lang w:val="en-US"/>
        </w:rPr>
        <w:t xml:space="preserve"> </w:t>
      </w:r>
      <w:r>
        <w:rPr>
          <w:lang w:val="en-US"/>
        </w:rPr>
        <w:t>or group2 can assume data allocation in CDM group3</w:t>
      </w:r>
      <w:r w:rsidR="008D6B5B">
        <w:rPr>
          <w:lang w:val="en-US"/>
        </w:rPr>
        <w:t>,</w:t>
      </w:r>
    </w:p>
    <w:p w14:paraId="72205EA3" w14:textId="39170261" w:rsidR="00FA50B0" w:rsidRPr="00D379F6" w:rsidRDefault="00CB3BB9" w:rsidP="00CB3BB9">
      <w:pPr>
        <w:pStyle w:val="BodyText"/>
        <w:numPr>
          <w:ilvl w:val="0"/>
          <w:numId w:val="26"/>
        </w:numPr>
        <w:rPr>
          <w:lang w:val="en-US"/>
        </w:rPr>
      </w:pPr>
      <m:oMath>
        <m:r>
          <w:rPr>
            <w:rFonts w:ascii="Cambria Math" w:hAnsi="Cambria Math"/>
          </w:rPr>
          <m:t>ρ</m:t>
        </m:r>
        <m:r>
          <w:rPr>
            <w:rFonts w:ascii="Cambria Math" w:hAnsi="Cambria Math"/>
            <w:lang w:val="en-US"/>
          </w:rPr>
          <m:t>=-4.77</m:t>
        </m:r>
      </m:oMath>
      <w:r>
        <w:rPr>
          <w:lang w:val="en-US"/>
        </w:rPr>
        <w:t>dB. No data in any CDM group (p</w:t>
      </w:r>
      <w:r w:rsidR="008C3CD2">
        <w:rPr>
          <w:lang w:val="en-US"/>
        </w:rPr>
        <w:t>ower boosting of</w:t>
      </w:r>
      <w:r w:rsidRPr="00260275">
        <w:rPr>
          <w:lang w:val="en-US"/>
        </w:rPr>
        <w:t xml:space="preserve"> DMRS in the </w:t>
      </w:r>
      <w:r w:rsidR="008C3CD2">
        <w:rPr>
          <w:lang w:val="en-US"/>
        </w:rPr>
        <w:t xml:space="preserve">own and </w:t>
      </w:r>
      <w:r w:rsidRPr="00260275">
        <w:rPr>
          <w:lang w:val="en-US"/>
        </w:rPr>
        <w:t>other CDM group</w:t>
      </w:r>
      <w:r w:rsidR="008C3CD2">
        <w:rPr>
          <w:lang w:val="en-US"/>
        </w:rPr>
        <w:t>s</w:t>
      </w:r>
      <w:r>
        <w:rPr>
          <w:lang w:val="en-US"/>
        </w:rPr>
        <w:t>)</w:t>
      </w:r>
      <w:r w:rsidRPr="00260275">
        <w:rPr>
          <w:lang w:val="en-US"/>
        </w:rPr>
        <w:t>.</w:t>
      </w:r>
    </w:p>
    <w:p w14:paraId="3843EB05" w14:textId="536E3230" w:rsidR="008E26BE" w:rsidRPr="00D379F6" w:rsidRDefault="00354FDC" w:rsidP="00354FDC">
      <w:pPr>
        <w:pStyle w:val="BodyText"/>
        <w:rPr>
          <w:lang w:val="en-US"/>
        </w:rPr>
      </w:pPr>
      <w:r w:rsidRPr="00D379F6">
        <w:rPr>
          <w:lang w:val="en-US"/>
        </w:rPr>
        <w:t xml:space="preserve">Therefore, for type-1 DMRS, </w:t>
      </w:r>
      <m:oMath>
        <m:r>
          <w:rPr>
            <w:rFonts w:ascii="Cambria Math" w:hAnsi="Cambria Math"/>
          </w:rPr>
          <m:t>ρ</m:t>
        </m:r>
      </m:oMath>
      <w:r w:rsidRPr="00D379F6">
        <w:rPr>
          <w:lang w:val="en-US"/>
        </w:rPr>
        <w:t xml:space="preserve"> can be 0dB and </w:t>
      </w:r>
      <w:r w:rsidR="008D6B5B" w:rsidRPr="00D379F6">
        <w:rPr>
          <w:lang w:val="en-US"/>
        </w:rPr>
        <w:t>-</w:t>
      </w:r>
      <w:r w:rsidRPr="00D379F6">
        <w:rPr>
          <w:lang w:val="en-US"/>
        </w:rPr>
        <w:t xml:space="preserve">3dB, while for type-2 DMRS, </w:t>
      </w:r>
      <m:oMath>
        <m:r>
          <w:rPr>
            <w:rFonts w:ascii="Cambria Math" w:hAnsi="Cambria Math"/>
          </w:rPr>
          <m:t>ρ</m:t>
        </m:r>
      </m:oMath>
      <w:r w:rsidRPr="00D379F6">
        <w:rPr>
          <w:lang w:val="en-US"/>
        </w:rPr>
        <w:t xml:space="preserve"> can be 0dB, </w:t>
      </w:r>
      <w:r w:rsidR="008D6B5B" w:rsidRPr="00D379F6">
        <w:rPr>
          <w:lang w:val="en-US"/>
        </w:rPr>
        <w:t>-</w:t>
      </w:r>
      <w:r w:rsidRPr="00D379F6">
        <w:rPr>
          <w:lang w:val="en-US"/>
        </w:rPr>
        <w:t xml:space="preserve">3dB, and </w:t>
      </w:r>
      <w:r w:rsidR="008D6B5B" w:rsidRPr="00D379F6">
        <w:rPr>
          <w:lang w:val="en-US"/>
        </w:rPr>
        <w:t>-</w:t>
      </w:r>
      <w:r w:rsidRPr="00D379F6">
        <w:rPr>
          <w:lang w:val="en-US"/>
        </w:rPr>
        <w:t xml:space="preserve">4.77dB. </w:t>
      </w:r>
      <w:r w:rsidR="00CB3BB9" w:rsidRPr="00D379F6">
        <w:rPr>
          <w:lang w:val="en-US"/>
        </w:rPr>
        <w:t xml:space="preserve">In order to make MU-MIMO transmission transparent, </w:t>
      </w:r>
      <w:proofErr w:type="spellStart"/>
      <w:r w:rsidR="00CB3BB9" w:rsidRPr="00D379F6">
        <w:rPr>
          <w:lang w:val="en-US"/>
        </w:rPr>
        <w:t>gNB</w:t>
      </w:r>
      <w:proofErr w:type="spellEnd"/>
      <w:r w:rsidR="00CB3BB9" w:rsidRPr="00D379F6">
        <w:rPr>
          <w:lang w:val="en-US"/>
        </w:rPr>
        <w:t xml:space="preserve"> should signal the power boosting ratio to UEs. For type-1 DMRS, </w:t>
      </w:r>
      <w:r w:rsidRPr="00D379F6">
        <w:rPr>
          <w:lang w:val="en-US"/>
        </w:rPr>
        <w:t xml:space="preserve">this additional </w:t>
      </w:r>
      <w:proofErr w:type="spellStart"/>
      <w:r w:rsidRPr="00D379F6">
        <w:rPr>
          <w:lang w:val="en-US"/>
        </w:rPr>
        <w:t>signalling</w:t>
      </w:r>
      <w:proofErr w:type="spellEnd"/>
      <w:r w:rsidRPr="00D379F6">
        <w:rPr>
          <w:lang w:val="en-US"/>
        </w:rPr>
        <w:t xml:space="preserve"> can be represented in 1 bit. For type-2 DMRS, the additional signal can be represe</w:t>
      </w:r>
      <w:r w:rsidR="005030B3" w:rsidRPr="00D379F6">
        <w:rPr>
          <w:lang w:val="en-US"/>
        </w:rPr>
        <w:t>nted in maximum 2 bits</w:t>
      </w:r>
      <w:r w:rsidRPr="00D379F6">
        <w:rPr>
          <w:lang w:val="en-US"/>
        </w:rPr>
        <w:t xml:space="preserve">. </w:t>
      </w:r>
      <w:r w:rsidR="008E26BE" w:rsidRPr="00D379F6">
        <w:rPr>
          <w:lang w:val="en-US"/>
        </w:rPr>
        <w:t xml:space="preserve">An important observation is that regardless of SU or MU-MIMO, the power boosting ratio will be limited to be 0, -3dB for type-1 and 0, -3, -4.77dB for type-2. </w:t>
      </w:r>
      <w:r w:rsidR="00355DD7" w:rsidRPr="00D379F6">
        <w:rPr>
          <w:lang w:val="en-US"/>
        </w:rPr>
        <w:t xml:space="preserve">Moreover, the same power boosting ratio in both SU- and MU-MIMO transmission implies the same data allocation in the DMRS symbols. </w:t>
      </w:r>
    </w:p>
    <w:p w14:paraId="73F4A496" w14:textId="454BFA97" w:rsidR="008E26BE" w:rsidRPr="00D379F6" w:rsidRDefault="008E26BE" w:rsidP="008E26BE">
      <w:pPr>
        <w:pStyle w:val="Observation"/>
        <w:rPr>
          <w:lang w:val="en-US"/>
        </w:rPr>
      </w:pPr>
      <w:r w:rsidRPr="00D379F6">
        <w:rPr>
          <w:lang w:val="en-US"/>
        </w:rPr>
        <w:t>For both SU and MU-MIMO transmission, the power boosting ratio is limited to be {0, -3} dB for type-1 and {0, -3, -4.</w:t>
      </w:r>
      <w:r w:rsidR="00BD66D4" w:rsidRPr="00D379F6">
        <w:rPr>
          <w:lang w:val="en-US"/>
        </w:rPr>
        <w:t>77} dB</w:t>
      </w:r>
      <w:r w:rsidRPr="00D379F6">
        <w:rPr>
          <w:lang w:val="en-US"/>
        </w:rPr>
        <w:t xml:space="preserve"> for type-2. </w:t>
      </w:r>
    </w:p>
    <w:p w14:paraId="0ED94F9F" w14:textId="34D47B04" w:rsidR="00355DD7" w:rsidRPr="00D379F6" w:rsidRDefault="00355DD7" w:rsidP="008E26BE">
      <w:pPr>
        <w:pStyle w:val="Observation"/>
        <w:rPr>
          <w:lang w:val="en-US"/>
        </w:rPr>
      </w:pPr>
      <w:r w:rsidRPr="00D379F6">
        <w:rPr>
          <w:lang w:val="en-US"/>
        </w:rPr>
        <w:t xml:space="preserve">For a specific DMRS configuration type, the power boosting ratio indicates the same data allocation for both SU and MU-MIMO transmission. </w:t>
      </w:r>
    </w:p>
    <w:p w14:paraId="1CE82F33" w14:textId="4CC6E4E7" w:rsidR="00354FDC" w:rsidRDefault="00BD66D4" w:rsidP="00354FDC">
      <w:pPr>
        <w:pStyle w:val="BodyText"/>
      </w:pPr>
      <w:r w:rsidRPr="00D379F6">
        <w:rPr>
          <w:lang w:val="en-US"/>
        </w:rPr>
        <w:t xml:space="preserve">Therefore, if the power boosting ratio is </w:t>
      </w:r>
      <w:proofErr w:type="spellStart"/>
      <w:r w:rsidRPr="00D379F6">
        <w:rPr>
          <w:lang w:val="en-US"/>
        </w:rPr>
        <w:t>signalled</w:t>
      </w:r>
      <w:proofErr w:type="spellEnd"/>
      <w:r w:rsidRPr="00D379F6">
        <w:rPr>
          <w:lang w:val="en-US"/>
        </w:rPr>
        <w:t xml:space="preserve"> to the UE(s), MU-MIMO can be transparent. </w:t>
      </w:r>
      <w:proofErr w:type="spellStart"/>
      <w:r w:rsidR="00897C78">
        <w:t>We</w:t>
      </w:r>
      <w:proofErr w:type="spellEnd"/>
      <w:r w:rsidR="00897C78">
        <w:t xml:space="preserve"> </w:t>
      </w:r>
      <w:proofErr w:type="spellStart"/>
      <w:r w:rsidR="00354FDC">
        <w:t>propose</w:t>
      </w:r>
      <w:proofErr w:type="spellEnd"/>
      <w:r w:rsidR="00354FDC">
        <w:t xml:space="preserve"> the </w:t>
      </w:r>
      <w:proofErr w:type="spellStart"/>
      <w:r w:rsidR="00354FDC">
        <w:t>following</w:t>
      </w:r>
      <w:proofErr w:type="spellEnd"/>
      <w:r w:rsidR="00354FDC">
        <w:t>:</w:t>
      </w:r>
    </w:p>
    <w:p w14:paraId="12676ED4" w14:textId="2BF6E5CB" w:rsidR="00354FDC" w:rsidRPr="00D379F6" w:rsidRDefault="00354FDC" w:rsidP="00354FDC">
      <w:pPr>
        <w:pStyle w:val="Proposal"/>
        <w:rPr>
          <w:lang w:val="en-US"/>
        </w:rPr>
      </w:pPr>
      <w:bookmarkStart w:id="4" w:name="_Hlk498695134"/>
      <w:bookmarkStart w:id="5" w:name="_Toc498705875"/>
      <w:r w:rsidRPr="00D379F6">
        <w:rPr>
          <w:lang w:val="en-US"/>
        </w:rPr>
        <w:t>T</w:t>
      </w:r>
      <w:r w:rsidR="00897C78" w:rsidRPr="00D379F6">
        <w:rPr>
          <w:lang w:val="en-US"/>
        </w:rPr>
        <w:t xml:space="preserve">he power boosting ratio of DMRS should be dynamically </w:t>
      </w:r>
      <w:proofErr w:type="spellStart"/>
      <w:r w:rsidR="00897C78" w:rsidRPr="00D379F6">
        <w:rPr>
          <w:lang w:val="en-US"/>
        </w:rPr>
        <w:t>signalled</w:t>
      </w:r>
      <w:proofErr w:type="spellEnd"/>
      <w:r w:rsidR="00897C78" w:rsidRPr="00D379F6">
        <w:rPr>
          <w:lang w:val="en-US"/>
        </w:rPr>
        <w:t xml:space="preserve"> to UEs</w:t>
      </w:r>
      <w:r w:rsidR="008F5A4F" w:rsidRPr="00D379F6">
        <w:rPr>
          <w:lang w:val="en-US"/>
        </w:rPr>
        <w:t xml:space="preserve"> (or equivalently encode this additional </w:t>
      </w:r>
      <w:proofErr w:type="spellStart"/>
      <w:r w:rsidR="008F5A4F" w:rsidRPr="00D379F6">
        <w:rPr>
          <w:lang w:val="en-US"/>
        </w:rPr>
        <w:t>signalling</w:t>
      </w:r>
      <w:proofErr w:type="spellEnd"/>
      <w:r w:rsidR="00617365" w:rsidRPr="00D379F6">
        <w:rPr>
          <w:lang w:val="en-US"/>
        </w:rPr>
        <w:t xml:space="preserve"> in the </w:t>
      </w:r>
      <w:r w:rsidR="008F5A4F" w:rsidRPr="00D379F6">
        <w:rPr>
          <w:lang w:val="en-US"/>
        </w:rPr>
        <w:t>port</w:t>
      </w:r>
      <w:r w:rsidR="00617365" w:rsidRPr="00D379F6">
        <w:rPr>
          <w:lang w:val="en-US"/>
        </w:rPr>
        <w:t xml:space="preserve"> mapping</w:t>
      </w:r>
      <w:r w:rsidR="008F5A4F" w:rsidRPr="00D379F6">
        <w:rPr>
          <w:lang w:val="en-US"/>
        </w:rPr>
        <w:t>)</w:t>
      </w:r>
      <w:r w:rsidR="001A0ABA" w:rsidRPr="00D379F6">
        <w:rPr>
          <w:lang w:val="en-US"/>
        </w:rPr>
        <w:t xml:space="preserve"> for transparent MU-MIMO</w:t>
      </w:r>
      <w:bookmarkEnd w:id="4"/>
      <w:r w:rsidRPr="00D379F6">
        <w:rPr>
          <w:lang w:val="en-US"/>
        </w:rPr>
        <w:t>.</w:t>
      </w:r>
      <w:bookmarkEnd w:id="5"/>
      <w:r w:rsidRPr="00D379F6">
        <w:rPr>
          <w:lang w:val="en-US"/>
        </w:rPr>
        <w:t xml:space="preserve">  </w:t>
      </w:r>
    </w:p>
    <w:p w14:paraId="25137071" w14:textId="045359D5" w:rsidR="00354FDC" w:rsidRPr="00D379F6" w:rsidRDefault="00AE68A6" w:rsidP="00354FDC">
      <w:pPr>
        <w:pStyle w:val="BodyText"/>
        <w:rPr>
          <w:lang w:val="en-US"/>
        </w:rPr>
      </w:pPr>
      <w:r>
        <w:lastRenderedPageBreak/>
        <w:fldChar w:fldCharType="begin"/>
      </w:r>
      <w:r w:rsidRPr="00D379F6">
        <w:rPr>
          <w:lang w:val="en-US"/>
        </w:rPr>
        <w:instrText xml:space="preserve"> REF _Ref498690164 \h </w:instrText>
      </w:r>
      <w:r>
        <w:fldChar w:fldCharType="separate"/>
      </w:r>
      <w:r w:rsidR="005E0BA5" w:rsidRPr="00D379F6">
        <w:rPr>
          <w:lang w:val="en-US"/>
        </w:rPr>
        <w:t xml:space="preserve">Figure </w:t>
      </w:r>
      <w:r w:rsidR="005E0BA5" w:rsidRPr="00D379F6">
        <w:rPr>
          <w:noProof/>
          <w:lang w:val="en-US"/>
        </w:rPr>
        <w:t>1</w:t>
      </w:r>
      <w:r>
        <w:fldChar w:fldCharType="end"/>
      </w:r>
      <w:r w:rsidRPr="00D379F6">
        <w:rPr>
          <w:lang w:val="en-US"/>
        </w:rPr>
        <w:t xml:space="preserve"> </w:t>
      </w:r>
      <w:r w:rsidR="00354FDC" w:rsidRPr="00D379F6">
        <w:rPr>
          <w:lang w:val="en-US"/>
        </w:rPr>
        <w:t xml:space="preserve">illustrates the power boosting ratio for an example that 2 co-scheduled UES in the MU-MIMO scenario with independent transmission ranks, namely, rank-4 and rank-1, respectively. Type-2 DMRS configuration is used in this example. Note that the actually number of transmission ranks of each UE is not related to the power boosting ratio. </w:t>
      </w:r>
    </w:p>
    <w:p w14:paraId="75CD6614" w14:textId="2C0006B7" w:rsidR="00354FDC" w:rsidRDefault="008C3CD2" w:rsidP="00354FDC">
      <w:pPr>
        <w:pStyle w:val="BodyText"/>
        <w:jc w:val="center"/>
      </w:pPr>
      <w:r>
        <w:rPr>
          <w:noProof/>
        </w:rPr>
        <w:drawing>
          <wp:inline distT="0" distB="0" distL="0" distR="0" wp14:anchorId="180E6FC0" wp14:editId="5D7E1AAE">
            <wp:extent cx="4357315" cy="25333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MRS_PowBoos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68895" cy="2540121"/>
                    </a:xfrm>
                    <a:prstGeom prst="rect">
                      <a:avLst/>
                    </a:prstGeom>
                  </pic:spPr>
                </pic:pic>
              </a:graphicData>
            </a:graphic>
          </wp:inline>
        </w:drawing>
      </w:r>
    </w:p>
    <w:p w14:paraId="25122888" w14:textId="27DFE9C4" w:rsidR="00354FDC" w:rsidRPr="00D379F6" w:rsidRDefault="00AE68A6" w:rsidP="00AE68A6">
      <w:pPr>
        <w:pStyle w:val="Caption"/>
        <w:rPr>
          <w:lang w:val="en-US"/>
        </w:rPr>
      </w:pPr>
      <w:bookmarkStart w:id="6" w:name="_Ref498690164"/>
      <w:bookmarkStart w:id="7" w:name="_Ref497919918"/>
      <w:r w:rsidRPr="00D379F6">
        <w:rPr>
          <w:lang w:val="en-US"/>
        </w:rPr>
        <w:t xml:space="preserve">Figure </w:t>
      </w:r>
      <w:r>
        <w:fldChar w:fldCharType="begin"/>
      </w:r>
      <w:r w:rsidRPr="00D379F6">
        <w:rPr>
          <w:lang w:val="en-US"/>
        </w:rPr>
        <w:instrText xml:space="preserve"> SEQ Figure \* ARABIC </w:instrText>
      </w:r>
      <w:r>
        <w:fldChar w:fldCharType="separate"/>
      </w:r>
      <w:r w:rsidR="005E0BA5" w:rsidRPr="00D379F6">
        <w:rPr>
          <w:noProof/>
          <w:lang w:val="en-US"/>
        </w:rPr>
        <w:t>1</w:t>
      </w:r>
      <w:r>
        <w:fldChar w:fldCharType="end"/>
      </w:r>
      <w:bookmarkEnd w:id="6"/>
      <w:r w:rsidRPr="00D379F6">
        <w:rPr>
          <w:lang w:val="en-US"/>
        </w:rPr>
        <w:t xml:space="preserve"> </w:t>
      </w:r>
      <w:r w:rsidR="00354FDC" w:rsidRPr="00D379F6">
        <w:rPr>
          <w:lang w:val="en-US"/>
        </w:rPr>
        <w:t>Illustration of DMRS power boosting for MU-MIMO</w:t>
      </w:r>
      <w:bookmarkEnd w:id="7"/>
    </w:p>
    <w:p w14:paraId="4AD55109" w14:textId="16F26685" w:rsidR="00354FDC" w:rsidRDefault="00354FDC" w:rsidP="00354FDC">
      <w:pPr>
        <w:pStyle w:val="Heading1"/>
      </w:pPr>
      <w:r>
        <w:t>Power imbalance of DMRS symbols</w:t>
      </w:r>
    </w:p>
    <w:p w14:paraId="0D51199D" w14:textId="77777777" w:rsidR="004F68FF" w:rsidRPr="00D379F6" w:rsidRDefault="004F68FF" w:rsidP="004F68FF">
      <w:pPr>
        <w:pStyle w:val="BodyText"/>
        <w:rPr>
          <w:lang w:val="en-US"/>
        </w:rPr>
      </w:pPr>
      <w:r w:rsidRPr="00D379F6">
        <w:rPr>
          <w:lang w:val="en-US"/>
        </w:rPr>
        <w:t>A known problem that was previously discussed regarding time domain OCC is that it will introduce power imbalance across DMRS REs in the time domain. According to the specification TS38.211, in case of 4-port multiplexing in a CDM group, the following OCC assignment appears, e.g., using DMRS type-2:</w:t>
      </w:r>
    </w:p>
    <w:p w14:paraId="7B505414" w14:textId="77777777" w:rsidR="004F68FF" w:rsidRPr="00FD32DA" w:rsidRDefault="004F68FF" w:rsidP="004F68FF">
      <w:pPr>
        <w:pStyle w:val="BodyText"/>
      </w:pPr>
      <w:r>
        <w:rPr>
          <w:noProof/>
        </w:rPr>
        <w:lastRenderedPageBreak/>
        <w:drawing>
          <wp:inline distT="0" distB="0" distL="0" distR="0" wp14:anchorId="287C2CEF" wp14:editId="3ED49EA5">
            <wp:extent cx="5943600" cy="3491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MRS_powerImbalanc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3491865"/>
                    </a:xfrm>
                    <a:prstGeom prst="rect">
                      <a:avLst/>
                    </a:prstGeom>
                  </pic:spPr>
                </pic:pic>
              </a:graphicData>
            </a:graphic>
          </wp:inline>
        </w:drawing>
      </w:r>
    </w:p>
    <w:p w14:paraId="53B67E5F" w14:textId="4A10C56C" w:rsidR="004F68FF" w:rsidRPr="00D379F6" w:rsidRDefault="004F68FF" w:rsidP="004F68FF">
      <w:pPr>
        <w:pStyle w:val="Caption"/>
        <w:rPr>
          <w:lang w:val="en-US"/>
        </w:rPr>
      </w:pPr>
      <w:bookmarkStart w:id="8" w:name="_Ref498000075"/>
      <w:r w:rsidRPr="00D379F6">
        <w:rPr>
          <w:lang w:val="en-US"/>
        </w:rPr>
        <w:t xml:space="preserve">Figure </w:t>
      </w:r>
      <w:r>
        <w:fldChar w:fldCharType="begin"/>
      </w:r>
      <w:r w:rsidRPr="00D379F6">
        <w:rPr>
          <w:lang w:val="en-US"/>
        </w:rPr>
        <w:instrText xml:space="preserve"> SEQ Figure \* ARABIC </w:instrText>
      </w:r>
      <w:r>
        <w:fldChar w:fldCharType="separate"/>
      </w:r>
      <w:r w:rsidR="005E0BA5" w:rsidRPr="00D379F6">
        <w:rPr>
          <w:noProof/>
          <w:lang w:val="en-US"/>
        </w:rPr>
        <w:t>2</w:t>
      </w:r>
      <w:r>
        <w:fldChar w:fldCharType="end"/>
      </w:r>
      <w:bookmarkEnd w:id="8"/>
      <w:r w:rsidRPr="00D379F6">
        <w:rPr>
          <w:lang w:val="en-US"/>
        </w:rPr>
        <w:t xml:space="preserve"> Power imbalance of DMRS in time domain</w:t>
      </w:r>
    </w:p>
    <w:p w14:paraId="1B1AED23" w14:textId="24B34A70" w:rsidR="004F68FF" w:rsidRPr="00D379F6" w:rsidRDefault="004F68FF" w:rsidP="004F68FF">
      <w:pPr>
        <w:rPr>
          <w:lang w:val="en-US"/>
        </w:rPr>
      </w:pPr>
      <w:r>
        <w:fldChar w:fldCharType="begin"/>
      </w:r>
      <w:r w:rsidRPr="00D379F6">
        <w:rPr>
          <w:lang w:val="en-US"/>
        </w:rPr>
        <w:instrText xml:space="preserve"> REF _Ref498000075 \h </w:instrText>
      </w:r>
      <w:r>
        <w:fldChar w:fldCharType="separate"/>
      </w:r>
      <w:r w:rsidR="005E0BA5" w:rsidRPr="00D379F6">
        <w:rPr>
          <w:lang w:val="en-US"/>
        </w:rPr>
        <w:t xml:space="preserve">Figure </w:t>
      </w:r>
      <w:r w:rsidR="005E0BA5" w:rsidRPr="00D379F6">
        <w:rPr>
          <w:noProof/>
          <w:lang w:val="en-US"/>
        </w:rPr>
        <w:t>2</w:t>
      </w:r>
      <w:r>
        <w:fldChar w:fldCharType="end"/>
      </w:r>
      <w:r w:rsidRPr="00D379F6">
        <w:rPr>
          <w:lang w:val="en-US"/>
        </w:rPr>
        <w:t xml:space="preserve"> illustrate the worst-case power imbalance issue introduced by F-T-OCC. When the precoding weight for each layer equals to each other, i.e., </w:t>
      </w:r>
      <m:oMath>
        <m:sSub>
          <m:sSubPr>
            <m:ctrlPr>
              <w:rPr>
                <w:rFonts w:ascii="Cambria Math" w:hAnsi="Cambria Math"/>
                <w:i/>
              </w:rPr>
            </m:ctrlPr>
          </m:sSubPr>
          <m:e>
            <m:r>
              <w:rPr>
                <w:rFonts w:ascii="Cambria Math" w:hAnsi="Cambria Math"/>
              </w:rPr>
              <m:t>w</m:t>
            </m:r>
          </m:e>
          <m:sub>
            <m:r>
              <w:rPr>
                <w:rFonts w:ascii="Cambria Math" w:hAnsi="Cambria Math"/>
              </w:rPr>
              <m:t>n</m:t>
            </m:r>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w</m:t>
            </m:r>
          </m:e>
          <m:sub>
            <m:r>
              <w:rPr>
                <w:rFonts w:ascii="Cambria Math" w:hAnsi="Cambria Math"/>
              </w:rPr>
              <m:t>n</m:t>
            </m:r>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rPr>
              <m:t>w</m:t>
            </m:r>
          </m:e>
          <m:sub>
            <m:r>
              <w:rPr>
                <w:rFonts w:ascii="Cambria Math" w:hAnsi="Cambria Math"/>
              </w:rPr>
              <m:t>n</m:t>
            </m:r>
            <m:r>
              <w:rPr>
                <w:rFonts w:ascii="Cambria Math" w:hAnsi="Cambria Math"/>
                <w:lang w:val="en-US"/>
              </w:rPr>
              <m:t>,3</m:t>
            </m:r>
          </m:sub>
        </m:sSub>
        <m:r>
          <w:rPr>
            <w:rFonts w:ascii="Cambria Math" w:hAnsi="Cambria Math"/>
            <w:lang w:val="en-US"/>
          </w:rPr>
          <m:t>=</m:t>
        </m:r>
        <m:sSub>
          <m:sSubPr>
            <m:ctrlPr>
              <w:rPr>
                <w:rFonts w:ascii="Cambria Math" w:hAnsi="Cambria Math"/>
                <w:i/>
              </w:rPr>
            </m:ctrlPr>
          </m:sSubPr>
          <m:e>
            <m:r>
              <w:rPr>
                <w:rFonts w:ascii="Cambria Math" w:hAnsi="Cambria Math"/>
              </w:rPr>
              <m:t>w</m:t>
            </m:r>
          </m:e>
          <m:sub>
            <m:r>
              <w:rPr>
                <w:rFonts w:ascii="Cambria Math" w:hAnsi="Cambria Math"/>
              </w:rPr>
              <m:t>n</m:t>
            </m:r>
            <m:r>
              <w:rPr>
                <w:rFonts w:ascii="Cambria Math" w:hAnsi="Cambria Math"/>
                <w:lang w:val="en-US"/>
              </w:rPr>
              <m:t>,4</m:t>
            </m:r>
          </m:sub>
        </m:sSub>
      </m:oMath>
      <w:r w:rsidRPr="00D379F6">
        <w:rPr>
          <w:lang w:val="en-US"/>
        </w:rPr>
        <w:t xml:space="preserve">, the peak relative power will only appear in the first DMRS symbol. </w:t>
      </w:r>
    </w:p>
    <w:p w14:paraId="73081D65" w14:textId="6BC8D6A0" w:rsidR="004F68FF" w:rsidRPr="00D379F6" w:rsidRDefault="004F68FF" w:rsidP="004F68FF">
      <w:pPr>
        <w:rPr>
          <w:lang w:val="en-US"/>
        </w:rPr>
      </w:pPr>
      <w:r w:rsidRPr="00D379F6">
        <w:rPr>
          <w:lang w:val="en-US"/>
        </w:rPr>
        <w:t xml:space="preserve">A straightforward way to solve this issue is to shuffle the OCC code assignment such that peak power DMRS REs appear uniformly across two DMRS symbols. As shown in </w:t>
      </w:r>
      <w:r>
        <w:fldChar w:fldCharType="begin"/>
      </w:r>
      <w:r w:rsidRPr="00D379F6">
        <w:rPr>
          <w:lang w:val="en-US"/>
        </w:rPr>
        <w:instrText xml:space="preserve"> REF _Ref498002734 \h </w:instrText>
      </w:r>
      <w:r>
        <w:fldChar w:fldCharType="separate"/>
      </w:r>
      <w:r w:rsidR="005E0BA5" w:rsidRPr="00D379F6">
        <w:rPr>
          <w:lang w:val="en-US"/>
        </w:rPr>
        <w:t xml:space="preserve">Figure </w:t>
      </w:r>
      <w:r w:rsidR="005E0BA5" w:rsidRPr="00D379F6">
        <w:rPr>
          <w:noProof/>
          <w:lang w:val="en-US"/>
        </w:rPr>
        <w:t>3</w:t>
      </w:r>
      <w:r>
        <w:fldChar w:fldCharType="end"/>
      </w:r>
      <w:r w:rsidRPr="00D379F6">
        <w:rPr>
          <w:lang w:val="en-US"/>
        </w:rPr>
        <w:t>, by changing the OCC assignment in one of the OCC group, the peak power on DMRS REs can be moved to the 2</w:t>
      </w:r>
      <w:r w:rsidRPr="00D379F6">
        <w:rPr>
          <w:vertAlign w:val="superscript"/>
          <w:lang w:val="en-US"/>
        </w:rPr>
        <w:t>nd</w:t>
      </w:r>
      <w:r w:rsidRPr="00D379F6">
        <w:rPr>
          <w:lang w:val="en-US"/>
        </w:rPr>
        <w:t xml:space="preserve"> DMRS symbol for balance in the time domain. Note that the based on this solution, for type-1 DMRS it is not perfectly balanced between two DMRS symbols. In order to allocate the peak power DMRS REs uniformly, for even number of PRB allocations, we can pair PRBs to make the allocation evenly distributed across two symbols, as shown in </w:t>
      </w:r>
      <w:r>
        <w:fldChar w:fldCharType="begin"/>
      </w:r>
      <w:r w:rsidRPr="00D379F6">
        <w:rPr>
          <w:lang w:val="en-US"/>
        </w:rPr>
        <w:instrText xml:space="preserve"> REF _Ref498005054 \h </w:instrText>
      </w:r>
      <w:r>
        <w:fldChar w:fldCharType="separate"/>
      </w:r>
      <w:r w:rsidR="005E0BA5" w:rsidRPr="00D379F6">
        <w:rPr>
          <w:lang w:val="en-US"/>
        </w:rPr>
        <w:t xml:space="preserve">Figure </w:t>
      </w:r>
      <w:r w:rsidR="005E0BA5" w:rsidRPr="00D379F6">
        <w:rPr>
          <w:noProof/>
          <w:lang w:val="en-US"/>
        </w:rPr>
        <w:t>4</w:t>
      </w:r>
      <w:r>
        <w:fldChar w:fldCharType="end"/>
      </w:r>
      <w:r w:rsidRPr="00D379F6">
        <w:rPr>
          <w:lang w:val="en-US"/>
        </w:rPr>
        <w:t xml:space="preserve">. For Type-2 DMRS, the peak power can be uniformly allocated regardless of the number of PRB allocations based on the OCC order shuffling. </w:t>
      </w:r>
    </w:p>
    <w:p w14:paraId="195CA90D" w14:textId="77777777" w:rsidR="004F68FF" w:rsidRPr="00D379F6" w:rsidRDefault="004F68FF" w:rsidP="004F68FF">
      <w:pPr>
        <w:pStyle w:val="Proposal"/>
        <w:rPr>
          <w:lang w:val="en-US"/>
        </w:rPr>
      </w:pPr>
      <w:bookmarkStart w:id="9" w:name="_Toc498705876"/>
      <w:r w:rsidRPr="00D379F6">
        <w:rPr>
          <w:lang w:val="en-US"/>
        </w:rPr>
        <w:t>Shuffling the OCC order in PRBs should be considered to balance the peak power on DMRS symbols in the time domain.</w:t>
      </w:r>
      <w:bookmarkEnd w:id="9"/>
      <w:r w:rsidRPr="00D379F6">
        <w:rPr>
          <w:lang w:val="en-US"/>
        </w:rPr>
        <w:t xml:space="preserve">   </w:t>
      </w:r>
    </w:p>
    <w:p w14:paraId="12CE06DB" w14:textId="77777777" w:rsidR="004F68FF" w:rsidRPr="00D379F6" w:rsidRDefault="004F68FF" w:rsidP="004F68FF">
      <w:pPr>
        <w:rPr>
          <w:lang w:val="en-US"/>
        </w:rPr>
      </w:pPr>
      <w:r>
        <w:rPr>
          <w:noProof/>
        </w:rPr>
        <w:lastRenderedPageBreak/>
        <w:drawing>
          <wp:inline distT="0" distB="0" distL="0" distR="0" wp14:anchorId="7DD70744" wp14:editId="3D3EA80D">
            <wp:extent cx="5943600" cy="34918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MRS_powerImbalance_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3491865"/>
                    </a:xfrm>
                    <a:prstGeom prst="rect">
                      <a:avLst/>
                    </a:prstGeom>
                  </pic:spPr>
                </pic:pic>
              </a:graphicData>
            </a:graphic>
          </wp:inline>
        </w:drawing>
      </w:r>
      <w:r w:rsidRPr="00D379F6">
        <w:rPr>
          <w:lang w:val="en-US"/>
        </w:rPr>
        <w:t xml:space="preserve"> </w:t>
      </w:r>
    </w:p>
    <w:p w14:paraId="04E9BCB4" w14:textId="4A578551" w:rsidR="004F68FF" w:rsidRPr="00D379F6" w:rsidRDefault="004F68FF" w:rsidP="004F68FF">
      <w:pPr>
        <w:pStyle w:val="Caption"/>
        <w:rPr>
          <w:lang w:val="en-US"/>
        </w:rPr>
      </w:pPr>
      <w:bookmarkStart w:id="10" w:name="_Ref498002734"/>
      <w:r w:rsidRPr="00D379F6">
        <w:rPr>
          <w:lang w:val="en-US"/>
        </w:rPr>
        <w:t xml:space="preserve">Figure </w:t>
      </w:r>
      <w:r>
        <w:fldChar w:fldCharType="begin"/>
      </w:r>
      <w:r w:rsidRPr="00D379F6">
        <w:rPr>
          <w:lang w:val="en-US"/>
        </w:rPr>
        <w:instrText xml:space="preserve"> SEQ Figure \* ARABIC </w:instrText>
      </w:r>
      <w:r>
        <w:fldChar w:fldCharType="separate"/>
      </w:r>
      <w:r w:rsidR="005E0BA5" w:rsidRPr="00D379F6">
        <w:rPr>
          <w:noProof/>
          <w:lang w:val="en-US"/>
        </w:rPr>
        <w:t>3</w:t>
      </w:r>
      <w:r>
        <w:fldChar w:fldCharType="end"/>
      </w:r>
      <w:bookmarkEnd w:id="10"/>
      <w:r w:rsidRPr="00D379F6">
        <w:rPr>
          <w:lang w:val="en-US"/>
        </w:rPr>
        <w:t xml:space="preserve"> Reverse OCC assignment in one PRB</w:t>
      </w:r>
    </w:p>
    <w:p w14:paraId="15F90143" w14:textId="77777777" w:rsidR="004F68FF" w:rsidRDefault="004F68FF" w:rsidP="004F68FF">
      <w:r>
        <w:rPr>
          <w:noProof/>
        </w:rPr>
        <w:lastRenderedPageBreak/>
        <w:drawing>
          <wp:inline distT="0" distB="0" distL="0" distR="0" wp14:anchorId="27C1C760" wp14:editId="500A80BF">
            <wp:extent cx="5943600" cy="55333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MRS_powerImbalance_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5533390"/>
                    </a:xfrm>
                    <a:prstGeom prst="rect">
                      <a:avLst/>
                    </a:prstGeom>
                  </pic:spPr>
                </pic:pic>
              </a:graphicData>
            </a:graphic>
          </wp:inline>
        </w:drawing>
      </w:r>
    </w:p>
    <w:p w14:paraId="0CB21FD7" w14:textId="41E41D59" w:rsidR="004F68FF" w:rsidRPr="00D379F6" w:rsidRDefault="004F68FF" w:rsidP="004F68FF">
      <w:pPr>
        <w:pStyle w:val="Caption"/>
        <w:rPr>
          <w:lang w:val="en-US"/>
        </w:rPr>
      </w:pPr>
      <w:bookmarkStart w:id="11" w:name="_Ref498005054"/>
      <w:r w:rsidRPr="00D379F6">
        <w:rPr>
          <w:lang w:val="en-US"/>
        </w:rPr>
        <w:t xml:space="preserve">Figure </w:t>
      </w:r>
      <w:r>
        <w:fldChar w:fldCharType="begin"/>
      </w:r>
      <w:r w:rsidRPr="00D379F6">
        <w:rPr>
          <w:lang w:val="en-US"/>
        </w:rPr>
        <w:instrText xml:space="preserve"> SEQ Figure \* ARABIC </w:instrText>
      </w:r>
      <w:r>
        <w:fldChar w:fldCharType="separate"/>
      </w:r>
      <w:r w:rsidR="005E0BA5" w:rsidRPr="00D379F6">
        <w:rPr>
          <w:noProof/>
          <w:lang w:val="en-US"/>
        </w:rPr>
        <w:t>4</w:t>
      </w:r>
      <w:r>
        <w:fldChar w:fldCharType="end"/>
      </w:r>
      <w:bookmarkEnd w:id="11"/>
      <w:r w:rsidRPr="00D379F6">
        <w:rPr>
          <w:lang w:val="en-US"/>
        </w:rPr>
        <w:t xml:space="preserve"> OCC shuffling in paired PRBS</w:t>
      </w:r>
    </w:p>
    <w:p w14:paraId="6C53ACF1" w14:textId="73A7D237" w:rsidR="00354FDC" w:rsidRPr="00D379F6" w:rsidRDefault="004106F4" w:rsidP="00354FDC">
      <w:pPr>
        <w:rPr>
          <w:lang w:val="en-US"/>
        </w:rPr>
      </w:pPr>
      <w:r w:rsidRPr="00D379F6">
        <w:rPr>
          <w:lang w:val="en-US"/>
        </w:rPr>
        <w:t xml:space="preserve">Note that the power imbalance issue occurs for both DMRS and CSI-RS as TD-OCC is introduced in both of the reference signals. Therefore, we propose a similar specification based solution for CSI-RS as described in </w:t>
      </w:r>
      <w:r>
        <w:fldChar w:fldCharType="begin"/>
      </w:r>
      <w:r w:rsidRPr="00D379F6">
        <w:rPr>
          <w:lang w:val="en-US"/>
        </w:rPr>
        <w:instrText xml:space="preserve"> REF _Ref498690346 \r \h </w:instrText>
      </w:r>
      <w:r>
        <w:fldChar w:fldCharType="separate"/>
      </w:r>
      <w:r w:rsidR="005E0BA5" w:rsidRPr="00D379F6">
        <w:rPr>
          <w:lang w:val="en-US"/>
        </w:rPr>
        <w:t>[3]</w:t>
      </w:r>
      <w:r>
        <w:fldChar w:fldCharType="end"/>
      </w:r>
      <w:r w:rsidRPr="00D379F6">
        <w:rPr>
          <w:lang w:val="en-US"/>
        </w:rPr>
        <w:t>.</w:t>
      </w:r>
    </w:p>
    <w:p w14:paraId="56327F3C" w14:textId="77777777" w:rsidR="00C01F33" w:rsidRPr="00CE0424" w:rsidRDefault="00C01F33" w:rsidP="003A0E41">
      <w:pPr>
        <w:pStyle w:val="Heading1"/>
      </w:pPr>
      <w:r w:rsidRPr="00CE0424">
        <w:t>Conclusion</w:t>
      </w:r>
      <w:r w:rsidR="00AE2FEB">
        <w:t>s</w:t>
      </w:r>
    </w:p>
    <w:p w14:paraId="4DEB7853" w14:textId="77777777" w:rsidR="009758A0" w:rsidRPr="00D379F6" w:rsidRDefault="003A0E41" w:rsidP="00A82551">
      <w:pPr>
        <w:pStyle w:val="BodyText"/>
        <w:rPr>
          <w:noProof/>
          <w:lang w:val="en-US"/>
        </w:rPr>
      </w:pPr>
      <w:r w:rsidRPr="00D379F6">
        <w:rPr>
          <w:lang w:val="en-US"/>
        </w:rPr>
        <w:t xml:space="preserve">In this </w:t>
      </w:r>
      <w:r w:rsidR="00F26BB4" w:rsidRPr="00D379F6">
        <w:rPr>
          <w:lang w:val="en-US"/>
        </w:rPr>
        <w:t>contribution,</w:t>
      </w:r>
      <w:r w:rsidR="004F68FF" w:rsidRPr="00D379F6">
        <w:rPr>
          <w:lang w:val="en-US"/>
        </w:rPr>
        <w:t xml:space="preserve"> we made the following proposals</w:t>
      </w:r>
      <w:r w:rsidR="008E065E" w:rsidRPr="00D379F6">
        <w:rPr>
          <w:lang w:val="en-US"/>
        </w:rPr>
        <w:t>:</w:t>
      </w:r>
      <w:r w:rsidR="00A82551">
        <w:rPr>
          <w:b/>
          <w:bCs/>
        </w:rPr>
        <w:fldChar w:fldCharType="begin"/>
      </w:r>
      <w:r w:rsidR="00A82551" w:rsidRPr="00D379F6">
        <w:rPr>
          <w:b/>
          <w:bCs/>
          <w:lang w:val="en-US"/>
        </w:rPr>
        <w:instrText xml:space="preserve"> TOC \n \p " " \h \z \t "Proposal;1" </w:instrText>
      </w:r>
      <w:r w:rsidR="00A82551">
        <w:rPr>
          <w:b/>
          <w:bCs/>
        </w:rPr>
        <w:fldChar w:fldCharType="separate"/>
      </w:r>
    </w:p>
    <w:p w14:paraId="5D73E37D" w14:textId="1F2DD472" w:rsidR="009758A0" w:rsidRDefault="00D379F6">
      <w:pPr>
        <w:pStyle w:val="TOC1"/>
        <w:rPr>
          <w:rFonts w:asciiTheme="minorHAnsi" w:eastAsiaTheme="minorEastAsia" w:hAnsiTheme="minorHAnsi" w:cstheme="minorBidi"/>
          <w:b w:val="0"/>
          <w:sz w:val="22"/>
          <w:lang w:val="sv-SE"/>
        </w:rPr>
      </w:pPr>
      <w:hyperlink w:anchor="_Toc498705874" w:history="1">
        <w:r w:rsidR="009758A0" w:rsidRPr="00C93A5B">
          <w:rPr>
            <w:rStyle w:val="Hyperlink"/>
          </w:rPr>
          <w:t>Proposal 1</w:t>
        </w:r>
        <w:r w:rsidR="009758A0">
          <w:rPr>
            <w:rFonts w:asciiTheme="minorHAnsi" w:eastAsiaTheme="minorEastAsia" w:hAnsiTheme="minorHAnsi" w:cstheme="minorBidi"/>
            <w:b w:val="0"/>
            <w:sz w:val="22"/>
            <w:lang w:val="sv-SE"/>
          </w:rPr>
          <w:tab/>
        </w:r>
        <w:r w:rsidR="009758A0" w:rsidRPr="00C93A5B">
          <w:rPr>
            <w:rStyle w:val="Hyperlink"/>
          </w:rPr>
          <w:t>In the MU-MIMO transmission, UEs are scheduled with DMRS ports according to a specific order formed by the CDM-group indices, for instance, in the order of CDM-group 1, 2, 3.</w:t>
        </w:r>
      </w:hyperlink>
    </w:p>
    <w:p w14:paraId="41EB1C5C" w14:textId="62577D23" w:rsidR="009758A0" w:rsidRDefault="00D379F6">
      <w:pPr>
        <w:pStyle w:val="TOC1"/>
        <w:rPr>
          <w:rFonts w:asciiTheme="minorHAnsi" w:eastAsiaTheme="minorEastAsia" w:hAnsiTheme="minorHAnsi" w:cstheme="minorBidi"/>
          <w:b w:val="0"/>
          <w:sz w:val="22"/>
          <w:lang w:val="sv-SE"/>
        </w:rPr>
      </w:pPr>
      <w:hyperlink w:anchor="_Toc498705875" w:history="1">
        <w:r w:rsidR="009758A0" w:rsidRPr="00C93A5B">
          <w:rPr>
            <w:rStyle w:val="Hyperlink"/>
          </w:rPr>
          <w:t>Proposal 2</w:t>
        </w:r>
        <w:r w:rsidR="009758A0">
          <w:rPr>
            <w:rFonts w:asciiTheme="minorHAnsi" w:eastAsiaTheme="minorEastAsia" w:hAnsiTheme="minorHAnsi" w:cstheme="minorBidi"/>
            <w:b w:val="0"/>
            <w:sz w:val="22"/>
            <w:lang w:val="sv-SE"/>
          </w:rPr>
          <w:tab/>
        </w:r>
        <w:r w:rsidR="009758A0" w:rsidRPr="00C93A5B">
          <w:rPr>
            <w:rStyle w:val="Hyperlink"/>
          </w:rPr>
          <w:t>The power boosting ratio of DMRS should be dynamically signalled to UEs (or equivalently encode this additional signalling in the port mapping) for transparent MU-MIMO.</w:t>
        </w:r>
      </w:hyperlink>
    </w:p>
    <w:p w14:paraId="73ABC91D" w14:textId="352A2920" w:rsidR="009758A0" w:rsidRDefault="00D379F6">
      <w:pPr>
        <w:pStyle w:val="TOC1"/>
        <w:rPr>
          <w:rFonts w:asciiTheme="minorHAnsi" w:eastAsiaTheme="minorEastAsia" w:hAnsiTheme="minorHAnsi" w:cstheme="minorBidi"/>
          <w:b w:val="0"/>
          <w:sz w:val="22"/>
          <w:lang w:val="sv-SE"/>
        </w:rPr>
      </w:pPr>
      <w:hyperlink w:anchor="_Toc498705876" w:history="1">
        <w:r w:rsidR="009758A0" w:rsidRPr="00C93A5B">
          <w:rPr>
            <w:rStyle w:val="Hyperlink"/>
          </w:rPr>
          <w:t>Proposal 3</w:t>
        </w:r>
        <w:r w:rsidR="009758A0">
          <w:rPr>
            <w:rFonts w:asciiTheme="minorHAnsi" w:eastAsiaTheme="minorEastAsia" w:hAnsiTheme="minorHAnsi" w:cstheme="minorBidi"/>
            <w:b w:val="0"/>
            <w:sz w:val="22"/>
            <w:lang w:val="sv-SE"/>
          </w:rPr>
          <w:tab/>
        </w:r>
        <w:r w:rsidR="009758A0" w:rsidRPr="00C93A5B">
          <w:rPr>
            <w:rStyle w:val="Hyperlink"/>
          </w:rPr>
          <w:t>Shuffling the OCC order in PRBs should be considered to balance the peak power on DMRS symbols in the time domain.</w:t>
        </w:r>
      </w:hyperlink>
    </w:p>
    <w:p w14:paraId="6AC53E94" w14:textId="2E9D4D55" w:rsidR="008E065E" w:rsidRDefault="00A82551" w:rsidP="00A82551">
      <w:pPr>
        <w:pStyle w:val="BodyText"/>
        <w:rPr>
          <w:b/>
          <w:bCs/>
        </w:rPr>
      </w:pPr>
      <w:r>
        <w:rPr>
          <w:b/>
          <w:bCs/>
        </w:rPr>
        <w:fldChar w:fldCharType="end"/>
      </w:r>
    </w:p>
    <w:p w14:paraId="5B3C850D" w14:textId="77777777" w:rsidR="00F507D1" w:rsidRPr="00CE0424" w:rsidRDefault="00F507D1" w:rsidP="00CE0424">
      <w:pPr>
        <w:pStyle w:val="Heading1"/>
      </w:pPr>
      <w:bookmarkStart w:id="12" w:name="_In-sequence_SDU_delivery"/>
      <w:bookmarkEnd w:id="12"/>
      <w:r w:rsidRPr="00CE0424">
        <w:t>References</w:t>
      </w:r>
    </w:p>
    <w:p w14:paraId="3BC9304B" w14:textId="1E9B4E65" w:rsidR="003A7EF3" w:rsidRPr="00D379F6" w:rsidRDefault="004D35B2" w:rsidP="00CE0424">
      <w:pPr>
        <w:pStyle w:val="Reference"/>
        <w:rPr>
          <w:lang w:val="en-US"/>
        </w:rPr>
      </w:pPr>
      <w:bookmarkStart w:id="13" w:name="_Ref494716035"/>
      <w:r w:rsidRPr="00D379F6">
        <w:rPr>
          <w:lang w:val="en-US"/>
        </w:rPr>
        <w:t>RAN1 chairman’s notes, 3GPP TSG RAN WG1 Meeting NR#3, Nagoya, Japan, 18</w:t>
      </w:r>
      <w:r w:rsidRPr="00D379F6">
        <w:rPr>
          <w:vertAlign w:val="superscript"/>
          <w:lang w:val="en-US"/>
        </w:rPr>
        <w:t>th</w:t>
      </w:r>
      <w:r w:rsidRPr="00D379F6">
        <w:rPr>
          <w:lang w:val="en-US"/>
        </w:rPr>
        <w:t>-21</w:t>
      </w:r>
      <w:r w:rsidRPr="00D379F6">
        <w:rPr>
          <w:vertAlign w:val="superscript"/>
          <w:lang w:val="en-US"/>
        </w:rPr>
        <w:t>st</w:t>
      </w:r>
      <w:r w:rsidRPr="00D379F6">
        <w:rPr>
          <w:lang w:val="en-US"/>
        </w:rPr>
        <w:t>, September 2017</w:t>
      </w:r>
      <w:bookmarkEnd w:id="13"/>
    </w:p>
    <w:p w14:paraId="471B39E1" w14:textId="1C5524C8" w:rsidR="004D35B2" w:rsidRPr="00D379F6" w:rsidRDefault="00E41FA7" w:rsidP="00CE0424">
      <w:pPr>
        <w:pStyle w:val="Reference"/>
        <w:rPr>
          <w:lang w:val="en-US"/>
        </w:rPr>
      </w:pPr>
      <w:bookmarkStart w:id="14" w:name="_Ref494715703"/>
      <w:r w:rsidRPr="00D379F6">
        <w:rPr>
          <w:lang w:val="en-US"/>
        </w:rPr>
        <w:t>R1-1720728</w:t>
      </w:r>
      <w:r w:rsidR="004F68FF" w:rsidRPr="00D379F6">
        <w:rPr>
          <w:lang w:val="en-US"/>
        </w:rPr>
        <w:t>, Further evaluations on DMRS</w:t>
      </w:r>
      <w:r w:rsidR="0076676D" w:rsidRPr="00D379F6">
        <w:rPr>
          <w:lang w:val="en-US"/>
        </w:rPr>
        <w:t>, Ericsson</w:t>
      </w:r>
      <w:bookmarkEnd w:id="14"/>
    </w:p>
    <w:p w14:paraId="46489A12" w14:textId="0B0BA52F" w:rsidR="0076676D" w:rsidRPr="00E41FA7" w:rsidRDefault="00E41FA7" w:rsidP="0076676D">
      <w:pPr>
        <w:pStyle w:val="Reference"/>
        <w:rPr>
          <w:lang w:val="en-US"/>
        </w:rPr>
      </w:pPr>
      <w:bookmarkStart w:id="15" w:name="_Ref498690346"/>
      <w:r w:rsidRPr="00D379F6">
        <w:rPr>
          <w:lang w:val="en-US"/>
        </w:rPr>
        <w:t>R1-1720735</w:t>
      </w:r>
      <w:r w:rsidR="004F68FF" w:rsidRPr="00D379F6">
        <w:rPr>
          <w:lang w:val="en-US"/>
        </w:rPr>
        <w:t>, Remaining details on CSI-RS design, Ericsson</w:t>
      </w:r>
      <w:bookmarkEnd w:id="15"/>
    </w:p>
    <w:sectPr w:rsidR="0076676D" w:rsidRPr="00E41FA7"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8C126" w14:textId="77777777" w:rsidR="00C84A6E" w:rsidRDefault="00C84A6E">
      <w:r>
        <w:separator/>
      </w:r>
    </w:p>
  </w:endnote>
  <w:endnote w:type="continuationSeparator" w:id="0">
    <w:p w14:paraId="67D61123" w14:textId="77777777" w:rsidR="00C84A6E" w:rsidRDefault="00C84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17BA0" w14:textId="77777777" w:rsidR="00042972" w:rsidRDefault="000429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C7583B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79F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79F6">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7BD54" w14:textId="77777777" w:rsidR="00042972" w:rsidRDefault="000429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D0B3" w14:textId="77777777" w:rsidR="00C84A6E" w:rsidRDefault="00C84A6E">
      <w:r>
        <w:separator/>
      </w:r>
    </w:p>
  </w:footnote>
  <w:footnote w:type="continuationSeparator" w:id="0">
    <w:p w14:paraId="1CEE5D9C" w14:textId="77777777" w:rsidR="00C84A6E" w:rsidRDefault="00C84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77300" w14:textId="77777777" w:rsidR="00042972" w:rsidRDefault="000429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91BD2" w14:textId="77777777" w:rsidR="00042972" w:rsidRDefault="00042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7722FC5"/>
    <w:multiLevelType w:val="hybridMultilevel"/>
    <w:tmpl w:val="BAB8C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8E0010"/>
    <w:multiLevelType w:val="hybridMultilevel"/>
    <w:tmpl w:val="0B422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724B6"/>
    <w:multiLevelType w:val="hybridMultilevel"/>
    <w:tmpl w:val="9AE6E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2D4DC2"/>
    <w:multiLevelType w:val="hybridMultilevel"/>
    <w:tmpl w:val="B7248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5F5F96"/>
    <w:multiLevelType w:val="hybridMultilevel"/>
    <w:tmpl w:val="75665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EF491A"/>
    <w:multiLevelType w:val="hybridMultilevel"/>
    <w:tmpl w:val="AD901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ADB2861"/>
    <w:multiLevelType w:val="hybridMultilevel"/>
    <w:tmpl w:val="AA005AD0"/>
    <w:lvl w:ilvl="0" w:tplc="041D0003">
      <w:start w:val="1"/>
      <w:numFmt w:val="bullet"/>
      <w:lvlText w:val="o"/>
      <w:lvlJc w:val="left"/>
      <w:pPr>
        <w:ind w:left="766" w:hanging="360"/>
      </w:pPr>
      <w:rPr>
        <w:rFonts w:ascii="Courier New" w:hAnsi="Courier New" w:cs="Courier New"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22" w15:restartNumberingAfterBreak="0">
    <w:nsid w:val="741643F9"/>
    <w:multiLevelType w:val="hybridMultilevel"/>
    <w:tmpl w:val="CB5898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4F4828"/>
    <w:multiLevelType w:val="hybridMultilevel"/>
    <w:tmpl w:val="BB64A2F2"/>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43403D"/>
    <w:multiLevelType w:val="hybridMultilevel"/>
    <w:tmpl w:val="32AC7B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E87B60"/>
    <w:multiLevelType w:val="hybridMultilevel"/>
    <w:tmpl w:val="ED742B9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7"/>
  </w:num>
  <w:num w:numId="6">
    <w:abstractNumId w:val="15"/>
  </w:num>
  <w:num w:numId="7">
    <w:abstractNumId w:val="19"/>
  </w:num>
  <w:num w:numId="8">
    <w:abstractNumId w:val="8"/>
  </w:num>
  <w:num w:numId="9">
    <w:abstractNumId w:val="5"/>
  </w:num>
  <w:num w:numId="10">
    <w:abstractNumId w:val="2"/>
  </w:num>
  <w:num w:numId="11">
    <w:abstractNumId w:val="1"/>
  </w:num>
  <w:num w:numId="12">
    <w:abstractNumId w:val="0"/>
  </w:num>
  <w:num w:numId="13">
    <w:abstractNumId w:val="17"/>
  </w:num>
  <w:num w:numId="14">
    <w:abstractNumId w:val="10"/>
  </w:num>
  <w:num w:numId="15">
    <w:abstractNumId w:val="11"/>
  </w:num>
  <w:num w:numId="16">
    <w:abstractNumId w:val="18"/>
  </w:num>
  <w:num w:numId="17">
    <w:abstractNumId w:val="23"/>
  </w:num>
  <w:num w:numId="18">
    <w:abstractNumId w:val="21"/>
  </w:num>
  <w:num w:numId="19">
    <w:abstractNumId w:val="4"/>
  </w:num>
  <w:num w:numId="20">
    <w:abstractNumId w:val="6"/>
  </w:num>
  <w:num w:numId="21">
    <w:abstractNumId w:val="25"/>
  </w:num>
  <w:num w:numId="22">
    <w:abstractNumId w:val="14"/>
  </w:num>
  <w:num w:numId="23">
    <w:abstractNumId w:val="24"/>
  </w:num>
  <w:num w:numId="24">
    <w:abstractNumId w:val="22"/>
  </w:num>
  <w:num w:numId="25">
    <w:abstractNumId w:val="9"/>
  </w:num>
  <w:num w:numId="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972"/>
    <w:rsid w:val="00042F22"/>
    <w:rsid w:val="000444EF"/>
    <w:rsid w:val="00052A07"/>
    <w:rsid w:val="000534E3"/>
    <w:rsid w:val="0005606A"/>
    <w:rsid w:val="00057117"/>
    <w:rsid w:val="000616E7"/>
    <w:rsid w:val="0006487E"/>
    <w:rsid w:val="00065E1A"/>
    <w:rsid w:val="00074CE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BB9"/>
    <w:rsid w:val="00137F0B"/>
    <w:rsid w:val="00151E23"/>
    <w:rsid w:val="001526E0"/>
    <w:rsid w:val="0015373E"/>
    <w:rsid w:val="001551B5"/>
    <w:rsid w:val="00164E08"/>
    <w:rsid w:val="001659C1"/>
    <w:rsid w:val="00173A8E"/>
    <w:rsid w:val="0018143F"/>
    <w:rsid w:val="00190AC1"/>
    <w:rsid w:val="0019341A"/>
    <w:rsid w:val="00197912"/>
    <w:rsid w:val="00197DF9"/>
    <w:rsid w:val="001A0ABA"/>
    <w:rsid w:val="001A1987"/>
    <w:rsid w:val="001A2564"/>
    <w:rsid w:val="001A6173"/>
    <w:rsid w:val="001A6CBA"/>
    <w:rsid w:val="001B0D97"/>
    <w:rsid w:val="001B5A5D"/>
    <w:rsid w:val="001C1CE5"/>
    <w:rsid w:val="001C3D2A"/>
    <w:rsid w:val="001D51BA"/>
    <w:rsid w:val="001D6342"/>
    <w:rsid w:val="001D6D53"/>
    <w:rsid w:val="001D7DE4"/>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2E98"/>
    <w:rsid w:val="00313FD6"/>
    <w:rsid w:val="003143BD"/>
    <w:rsid w:val="00314850"/>
    <w:rsid w:val="003203ED"/>
    <w:rsid w:val="00322C9F"/>
    <w:rsid w:val="00324D23"/>
    <w:rsid w:val="00327997"/>
    <w:rsid w:val="00331751"/>
    <w:rsid w:val="00331B7B"/>
    <w:rsid w:val="00334579"/>
    <w:rsid w:val="00335858"/>
    <w:rsid w:val="00336BDA"/>
    <w:rsid w:val="00342BD7"/>
    <w:rsid w:val="00346DB5"/>
    <w:rsid w:val="003477B1"/>
    <w:rsid w:val="00354FDC"/>
    <w:rsid w:val="00355DD7"/>
    <w:rsid w:val="00356A14"/>
    <w:rsid w:val="00357380"/>
    <w:rsid w:val="003602D9"/>
    <w:rsid w:val="003604CE"/>
    <w:rsid w:val="003671D0"/>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6F4"/>
    <w:rsid w:val="00410B72"/>
    <w:rsid w:val="00410F18"/>
    <w:rsid w:val="0041263E"/>
    <w:rsid w:val="00413834"/>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5B2"/>
    <w:rsid w:val="004D36B1"/>
    <w:rsid w:val="004D7EBD"/>
    <w:rsid w:val="004E2680"/>
    <w:rsid w:val="004E28F9"/>
    <w:rsid w:val="004E462E"/>
    <w:rsid w:val="004E56DC"/>
    <w:rsid w:val="004E76F4"/>
    <w:rsid w:val="004E7724"/>
    <w:rsid w:val="004F0B4E"/>
    <w:rsid w:val="004F0B6C"/>
    <w:rsid w:val="004F2078"/>
    <w:rsid w:val="004F4DA3"/>
    <w:rsid w:val="004F68FF"/>
    <w:rsid w:val="005030B3"/>
    <w:rsid w:val="00506557"/>
    <w:rsid w:val="0050677A"/>
    <w:rsid w:val="005108D8"/>
    <w:rsid w:val="005116F9"/>
    <w:rsid w:val="005153A7"/>
    <w:rsid w:val="005219CF"/>
    <w:rsid w:val="00524250"/>
    <w:rsid w:val="00534B59"/>
    <w:rsid w:val="00536759"/>
    <w:rsid w:val="00537C62"/>
    <w:rsid w:val="00546970"/>
    <w:rsid w:val="00554192"/>
    <w:rsid w:val="00554B93"/>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0BA5"/>
    <w:rsid w:val="005E385F"/>
    <w:rsid w:val="005E5B81"/>
    <w:rsid w:val="005F2CB1"/>
    <w:rsid w:val="005F3025"/>
    <w:rsid w:val="005F618C"/>
    <w:rsid w:val="005F70BD"/>
    <w:rsid w:val="0060283C"/>
    <w:rsid w:val="00604F14"/>
    <w:rsid w:val="00611B83"/>
    <w:rsid w:val="00613257"/>
    <w:rsid w:val="0061736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347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22"/>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B3D"/>
    <w:rsid w:val="00726EA6"/>
    <w:rsid w:val="00727208"/>
    <w:rsid w:val="00727680"/>
    <w:rsid w:val="007348B1"/>
    <w:rsid w:val="007362A6"/>
    <w:rsid w:val="00736D7D"/>
    <w:rsid w:val="00737FB0"/>
    <w:rsid w:val="00740E58"/>
    <w:rsid w:val="00742A40"/>
    <w:rsid w:val="007445A0"/>
    <w:rsid w:val="0074524B"/>
    <w:rsid w:val="0074699C"/>
    <w:rsid w:val="00747D8B"/>
    <w:rsid w:val="00751228"/>
    <w:rsid w:val="007571E1"/>
    <w:rsid w:val="00757D08"/>
    <w:rsid w:val="007604B2"/>
    <w:rsid w:val="00763676"/>
    <w:rsid w:val="00765281"/>
    <w:rsid w:val="0076676D"/>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0167"/>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97C78"/>
    <w:rsid w:val="008A21FF"/>
    <w:rsid w:val="008A2CE2"/>
    <w:rsid w:val="008A30AC"/>
    <w:rsid w:val="008A40DD"/>
    <w:rsid w:val="008A44B8"/>
    <w:rsid w:val="008A51A8"/>
    <w:rsid w:val="008A54C7"/>
    <w:rsid w:val="008A77D8"/>
    <w:rsid w:val="008B0483"/>
    <w:rsid w:val="008B120C"/>
    <w:rsid w:val="008B51A0"/>
    <w:rsid w:val="008B592A"/>
    <w:rsid w:val="008B7B5C"/>
    <w:rsid w:val="008C0C99"/>
    <w:rsid w:val="008C2017"/>
    <w:rsid w:val="008C3CD2"/>
    <w:rsid w:val="008C4958"/>
    <w:rsid w:val="008C4BAA"/>
    <w:rsid w:val="008C6AE8"/>
    <w:rsid w:val="008C7573"/>
    <w:rsid w:val="008D34F1"/>
    <w:rsid w:val="008D39D8"/>
    <w:rsid w:val="008D6B5B"/>
    <w:rsid w:val="008D6D1A"/>
    <w:rsid w:val="008E065E"/>
    <w:rsid w:val="008E0927"/>
    <w:rsid w:val="008E1909"/>
    <w:rsid w:val="008E26BE"/>
    <w:rsid w:val="008F1EAB"/>
    <w:rsid w:val="008F33DC"/>
    <w:rsid w:val="008F477F"/>
    <w:rsid w:val="008F5A4F"/>
    <w:rsid w:val="00902350"/>
    <w:rsid w:val="0090336B"/>
    <w:rsid w:val="009053AA"/>
    <w:rsid w:val="00906939"/>
    <w:rsid w:val="00910B7D"/>
    <w:rsid w:val="00911DFB"/>
    <w:rsid w:val="00912F88"/>
    <w:rsid w:val="009139D9"/>
    <w:rsid w:val="00914AD8"/>
    <w:rsid w:val="00916079"/>
    <w:rsid w:val="00916515"/>
    <w:rsid w:val="00916ACA"/>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58A0"/>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2D9"/>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5E8B"/>
    <w:rsid w:val="00A660AC"/>
    <w:rsid w:val="00A67E6C"/>
    <w:rsid w:val="00A71B99"/>
    <w:rsid w:val="00A739D0"/>
    <w:rsid w:val="00A761D4"/>
    <w:rsid w:val="00A77EC4"/>
    <w:rsid w:val="00A82551"/>
    <w:rsid w:val="00A82CE1"/>
    <w:rsid w:val="00A8575E"/>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ED8"/>
    <w:rsid w:val="00AC5A10"/>
    <w:rsid w:val="00AC7789"/>
    <w:rsid w:val="00AD0AA3"/>
    <w:rsid w:val="00AD3689"/>
    <w:rsid w:val="00AD3F94"/>
    <w:rsid w:val="00AD4A5A"/>
    <w:rsid w:val="00AD539A"/>
    <w:rsid w:val="00AE27AC"/>
    <w:rsid w:val="00AE2FEB"/>
    <w:rsid w:val="00AE40E0"/>
    <w:rsid w:val="00AE4DBA"/>
    <w:rsid w:val="00AE4F07"/>
    <w:rsid w:val="00AE68A6"/>
    <w:rsid w:val="00AF0198"/>
    <w:rsid w:val="00AF1C5D"/>
    <w:rsid w:val="00AF42D7"/>
    <w:rsid w:val="00B006FE"/>
    <w:rsid w:val="00B007CB"/>
    <w:rsid w:val="00B02AA9"/>
    <w:rsid w:val="00B02F0C"/>
    <w:rsid w:val="00B02FA3"/>
    <w:rsid w:val="00B03374"/>
    <w:rsid w:val="00B05084"/>
    <w:rsid w:val="00B157F9"/>
    <w:rsid w:val="00B20256"/>
    <w:rsid w:val="00B20D09"/>
    <w:rsid w:val="00B20F08"/>
    <w:rsid w:val="00B2763F"/>
    <w:rsid w:val="00B27AAC"/>
    <w:rsid w:val="00B30929"/>
    <w:rsid w:val="00B35A97"/>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6D4"/>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4A6E"/>
    <w:rsid w:val="00C9027A"/>
    <w:rsid w:val="00C9068E"/>
    <w:rsid w:val="00C93C4B"/>
    <w:rsid w:val="00C944AB"/>
    <w:rsid w:val="00C95B40"/>
    <w:rsid w:val="00CA1068"/>
    <w:rsid w:val="00CA1ED8"/>
    <w:rsid w:val="00CA2417"/>
    <w:rsid w:val="00CB1F63"/>
    <w:rsid w:val="00CB3BB9"/>
    <w:rsid w:val="00CB7170"/>
    <w:rsid w:val="00CC040E"/>
    <w:rsid w:val="00CC0F51"/>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669"/>
    <w:rsid w:val="00D36E71"/>
    <w:rsid w:val="00D379F6"/>
    <w:rsid w:val="00D37D87"/>
    <w:rsid w:val="00D40B33"/>
    <w:rsid w:val="00D4318F"/>
    <w:rsid w:val="00D438BF"/>
    <w:rsid w:val="00D440F8"/>
    <w:rsid w:val="00D546FF"/>
    <w:rsid w:val="00D55AD5"/>
    <w:rsid w:val="00D5657B"/>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089"/>
    <w:rsid w:val="00DE5608"/>
    <w:rsid w:val="00DE58D0"/>
    <w:rsid w:val="00DE654F"/>
    <w:rsid w:val="00DF0B6E"/>
    <w:rsid w:val="00DF15E0"/>
    <w:rsid w:val="00DF37A0"/>
    <w:rsid w:val="00E110E7"/>
    <w:rsid w:val="00E11B20"/>
    <w:rsid w:val="00E11F77"/>
    <w:rsid w:val="00E17FA2"/>
    <w:rsid w:val="00E22330"/>
    <w:rsid w:val="00E30B5A"/>
    <w:rsid w:val="00E3123D"/>
    <w:rsid w:val="00E31461"/>
    <w:rsid w:val="00E31D43"/>
    <w:rsid w:val="00E32608"/>
    <w:rsid w:val="00E34188"/>
    <w:rsid w:val="00E34B6E"/>
    <w:rsid w:val="00E35559"/>
    <w:rsid w:val="00E3723A"/>
    <w:rsid w:val="00E37860"/>
    <w:rsid w:val="00E41FA7"/>
    <w:rsid w:val="00E446F1"/>
    <w:rsid w:val="00E46886"/>
    <w:rsid w:val="00E47AEF"/>
    <w:rsid w:val="00E53B75"/>
    <w:rsid w:val="00E54E3B"/>
    <w:rsid w:val="00E5689D"/>
    <w:rsid w:val="00E57565"/>
    <w:rsid w:val="00E63838"/>
    <w:rsid w:val="00E64434"/>
    <w:rsid w:val="00E64B80"/>
    <w:rsid w:val="00E67C51"/>
    <w:rsid w:val="00E72EFC"/>
    <w:rsid w:val="00E74668"/>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5719"/>
    <w:rsid w:val="00EE59C8"/>
    <w:rsid w:val="00EF18FE"/>
    <w:rsid w:val="00EF5787"/>
    <w:rsid w:val="00EF60D0"/>
    <w:rsid w:val="00F033DD"/>
    <w:rsid w:val="00F0528D"/>
    <w:rsid w:val="00F06C67"/>
    <w:rsid w:val="00F06DFD"/>
    <w:rsid w:val="00F071D1"/>
    <w:rsid w:val="00F07533"/>
    <w:rsid w:val="00F10629"/>
    <w:rsid w:val="00F15FA5"/>
    <w:rsid w:val="00F209B7"/>
    <w:rsid w:val="00F2376F"/>
    <w:rsid w:val="00F243D8"/>
    <w:rsid w:val="00F26465"/>
    <w:rsid w:val="00F26BB4"/>
    <w:rsid w:val="00F30828"/>
    <w:rsid w:val="00F313D6"/>
    <w:rsid w:val="00F366FF"/>
    <w:rsid w:val="00F368CF"/>
    <w:rsid w:val="00F40F0C"/>
    <w:rsid w:val="00F4766C"/>
    <w:rsid w:val="00F5060E"/>
    <w:rsid w:val="00F507D1"/>
    <w:rsid w:val="00F519CE"/>
    <w:rsid w:val="00F51ADA"/>
    <w:rsid w:val="00F52F6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0B0"/>
    <w:rsid w:val="00FB024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79F6"/>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D379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9F6"/>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uiPriority w:val="39"/>
    <w:rsid w:val="002611E7"/>
    <w:pPr>
      <w:ind w:left="1134" w:hanging="1134"/>
    </w:pPr>
  </w:style>
  <w:style w:type="paragraph" w:styleId="TOC2">
    <w:name w:val="toc 2"/>
    <w:basedOn w:val="TOC1"/>
    <w:uiPriority w:val="39"/>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611E7"/>
    <w:rPr>
      <w:rFonts w:ascii="Arial" w:hAnsi="Arial" w:cs="Arial"/>
      <w:sz w:val="32"/>
      <w:szCs w:val="36"/>
      <w:lang w:val="en-GB" w:eastAsia="zh-CN"/>
    </w:rPr>
  </w:style>
  <w:style w:type="paragraph" w:customStyle="1" w:styleId="B1">
    <w:name w:val="B1"/>
    <w:basedOn w:val="List"/>
    <w:rsid w:val="002611E7"/>
    <w:pPr>
      <w:spacing w:after="180"/>
    </w:pPr>
    <w:rPr>
      <w:lang w:eastAsia="en-US"/>
    </w:rPr>
  </w:style>
  <w:style w:type="paragraph" w:customStyle="1" w:styleId="B2">
    <w:name w:val="B2"/>
    <w:basedOn w:val="List2"/>
    <w:rsid w:val="002611E7"/>
    <w:pPr>
      <w:spacing w:after="180"/>
    </w:pPr>
    <w:rPr>
      <w:lang w:eastAsia="en-US"/>
    </w:rPr>
  </w:style>
  <w:style w:type="paragraph" w:customStyle="1" w:styleId="B3">
    <w:name w:val="B3"/>
    <w:basedOn w:val="List3"/>
    <w:rsid w:val="002611E7"/>
    <w:pPr>
      <w:spacing w:after="180"/>
    </w:pPr>
    <w:rPr>
      <w:lang w:eastAsia="en-US"/>
    </w:rPr>
  </w:style>
  <w:style w:type="paragraph" w:customStyle="1" w:styleId="B4">
    <w:name w:val="B4"/>
    <w:basedOn w:val="List4"/>
    <w:rsid w:val="002611E7"/>
    <w:pPr>
      <w:spacing w:after="180"/>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rPr>
      <w:lang w:eastAsia="en-US"/>
    </w:rPr>
  </w:style>
  <w:style w:type="paragraph" w:customStyle="1" w:styleId="EX">
    <w:name w:val="EX"/>
    <w:basedOn w:val="Normal"/>
    <w:rsid w:val="002611E7"/>
    <w:pPr>
      <w:keepLines/>
      <w:spacing w:after="180"/>
      <w:ind w:left="1702" w:hanging="1418"/>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
    <w:basedOn w:val="Normal"/>
    <w:link w:val="ListParagraphChar"/>
    <w:uiPriority w:val="34"/>
    <w:qFormat/>
    <w:rsid w:val="00BF7642"/>
    <w:pPr>
      <w:spacing w:after="180"/>
      <w:ind w:left="720"/>
      <w:contextualSpacing/>
    </w:pPr>
    <w:rPr>
      <w:rFonts w:ascii="Times" w:eastAsia="宋体"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宋体"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Observation-list">
    <w:name w:val="Observation-list"/>
    <w:basedOn w:val="Observation"/>
    <w:link w:val="Observation-listChar"/>
    <w:qFormat/>
    <w:rsid w:val="00F368CF"/>
    <w:pPr>
      <w:numPr>
        <w:numId w:val="0"/>
      </w:numPr>
      <w:ind w:left="1701" w:hanging="1701"/>
    </w:pPr>
    <w:rPr>
      <w:rFonts w:eastAsia="MS Mincho"/>
      <w:bCs w:val="0"/>
      <w:szCs w:val="24"/>
      <w:lang w:val="en-US" w:eastAsia="ja-JP"/>
    </w:rPr>
  </w:style>
  <w:style w:type="character" w:customStyle="1" w:styleId="Observation-listChar">
    <w:name w:val="Observation-list Char"/>
    <w:basedOn w:val="DefaultParagraphFont"/>
    <w:link w:val="Observation-list"/>
    <w:rsid w:val="00F368CF"/>
    <w:rPr>
      <w:rFonts w:ascii="Times New Roman" w:eastAsia="MS Mincho" w:hAnsi="Times New Roman"/>
      <w:b/>
      <w:szCs w:val="24"/>
      <w:lang w:eastAsia="ja-JP"/>
    </w:rPr>
  </w:style>
  <w:style w:type="table" w:styleId="TableGrid">
    <w:name w:val="Table Grid"/>
    <w:basedOn w:val="TableNormal"/>
    <w:rsid w:val="00B35A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1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D825F-8EF9-4524-9CEA-0DFBAD695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1307</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2017-11-17T17:15:00Z</dcterms:created>
  <dcterms:modified xsi:type="dcterms:W3CDTF">2017-11-17T17:26:00Z</dcterms:modified>
</cp:coreProperties>
</file>